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jc w:val="center"/>
        <w:pageBreakBefore w:val="0"/>
        <w:spacing w:line="312" w:lineRule="auto"/>
        <w:widowControl w:val="off"/>
        <w:rPr>
          <w:rStyle w:val="1345"/>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075"/>
        <w:jc w:val="center"/>
        <w:pageBreakBefore w:val="0"/>
        <w:spacing w:line="312" w:lineRule="auto"/>
        <w:widowControl w:val="off"/>
        <w:rPr>
          <w:rStyle w:val="1345"/>
          <w:rFonts w:hint="eastAsia" w:ascii="仿宋" w:hAnsi="仿宋" w:eastAsia="仿宋" w:cs="仿宋"/>
          <w:color w:val="auto"/>
          <w:sz w:val="84"/>
          <w:szCs w:val="84"/>
          <w:highlight w:val="none"/>
        </w:rPr>
      </w:pPr>
      <w:r>
        <w:rPr>
          <w:rFonts w:hint="eastAsia" w:ascii="仿宋" w:hAnsi="仿宋" w:eastAsia="仿宋" w:cs="仿宋"/>
          <w:color w:val="auto"/>
          <w:sz w:val="84"/>
          <w:szCs w:val="84"/>
          <w:highlight w:val="none"/>
        </w:rPr>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84"/>
          <w:szCs w:val="84"/>
          <w:highlight w:val="none"/>
        </w:rPr>
        <w:t xml:space="preserve">竞争性磋商文件</w:t>
      </w:r>
      <w:r/>
    </w:p>
    <w:p>
      <w:pPr>
        <w:pStyle w:val="1075"/>
        <w:jc w:val="left"/>
        <w:pageBreakBefore w:val="0"/>
        <w:spacing w:line="312" w:lineRule="auto"/>
        <w:widowControl w:val="off"/>
        <w:rPr>
          <w:rStyle w:val="1345"/>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76"/>
        <w:pageBreakBefore w:val="0"/>
        <w:spacing w:line="312" w:lineRule="auto"/>
        <w:rPr>
          <w:rFonts w:hint="eastAsia"/>
          <w:color w:val="auto"/>
          <w:highlight w:val="none"/>
        </w:rPr>
      </w:pPr>
      <w:r>
        <w:rPr>
          <w:rFonts w:hint="eastAsia"/>
          <w:color w:val="auto"/>
          <w:highlight w:val="none"/>
        </w:rPr>
      </w:r>
      <w:r/>
    </w:p>
    <w:p>
      <w:pPr>
        <w:pStyle w:val="1076"/>
        <w:pageBreakBefore w:val="0"/>
        <w:spacing w:line="312" w:lineRule="auto"/>
        <w:rPr>
          <w:rFonts w:hint="eastAsia"/>
          <w:color w:val="auto"/>
          <w:highlight w:val="none"/>
        </w:rPr>
      </w:pPr>
      <w:r>
        <w:rPr>
          <w:rFonts w:hint="eastAsia"/>
          <w:color w:val="auto"/>
          <w:highlight w:val="none"/>
        </w:rPr>
      </w:r>
      <w:r/>
    </w:p>
    <w:p>
      <w:pPr>
        <w:pStyle w:val="1076"/>
        <w:pageBreakBefore w:val="0"/>
        <w:spacing w:line="312" w:lineRule="auto"/>
        <w:rPr>
          <w:rFonts w:hint="eastAsia"/>
          <w:color w:val="auto"/>
          <w:highlight w:val="none"/>
        </w:rPr>
      </w:pPr>
      <w:r>
        <w:rPr>
          <w:rFonts w:hint="eastAsia"/>
          <w:color w:val="auto"/>
          <w:highlight w:val="none"/>
        </w:rPr>
      </w:r>
      <w:r/>
    </w:p>
    <w:p>
      <w:pPr>
        <w:pStyle w:val="1076"/>
        <w:pageBreakBefore w:val="0"/>
        <w:spacing w:line="312" w:lineRule="auto"/>
        <w:rPr>
          <w:rStyle w:val="1345"/>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76"/>
        <w:pageBreakBefore w:val="0"/>
        <w:spacing w:line="312" w:lineRule="auto"/>
        <w:rPr>
          <w:rStyle w:val="1345"/>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75"/>
        <w:ind w:firstLine="63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left="839" w:firstLine="420"/>
        <w:jc w:val="left"/>
        <w:keepLines w:val="0"/>
        <w:keepNext w:val="0"/>
        <w:pageBreakBefore w:val="0"/>
        <w:spacing w:line="480" w:lineRule="auto"/>
        <w:widowControl w:val="off"/>
        <w:rPr>
          <w:rStyle w:val="1345"/>
          <w:rFonts w:hint="eastAsia" w:ascii="仿宋" w:hAnsi="仿宋" w:eastAsia="仿宋" w:cs="仿宋"/>
          <w:color w:val="auto"/>
          <w:sz w:val="28"/>
          <w:szCs w:val="28"/>
          <w:highlight w:val="none"/>
          <w:lang w:eastAsia="zh-CN"/>
        </w:rPr>
      </w:pPr>
      <w:r>
        <w:rPr>
          <w:rStyle w:val="1345"/>
          <w:rFonts w:hint="eastAsia" w:ascii="仿宋" w:hAnsi="仿宋" w:eastAsia="仿宋" w:cs="仿宋"/>
          <w:color w:val="auto"/>
          <w:sz w:val="28"/>
          <w:szCs w:val="28"/>
          <w:highlight w:val="none"/>
        </w:rPr>
        <w:t xml:space="preserve">项目名称：</w:t>
      </w:r>
      <w:r>
        <w:rPr>
          <w:rStyle w:val="1345"/>
          <w:rFonts w:hint="eastAsia" w:ascii="仿宋" w:hAnsi="仿宋" w:eastAsia="仿宋" w:cs="仿宋"/>
          <w:color w:val="auto"/>
          <w:sz w:val="28"/>
          <w:szCs w:val="28"/>
          <w:highlight w:val="none"/>
          <w:lang w:eastAsia="zh-CN"/>
        </w:rPr>
        <w:t xml:space="preserve">2025年徐州市新城区新移交市管道路绿地养护管理</w:t>
      </w:r>
      <w:r/>
    </w:p>
    <w:p>
      <w:pPr>
        <w:pStyle w:val="1075"/>
        <w:ind w:left="839" w:firstLine="420"/>
        <w:jc w:val="left"/>
        <w:keepLines w:val="0"/>
        <w:keepNext w:val="0"/>
        <w:pageBreakBefore w:val="0"/>
        <w:spacing w:line="480" w:lineRule="auto"/>
        <w:widowControl w:val="off"/>
        <w:rPr>
          <w:rStyle w:val="1345"/>
          <w:rFonts w:hint="eastAsia" w:ascii="仿宋" w:hAnsi="仿宋" w:eastAsia="仿宋" w:cs="仿宋"/>
          <w:color w:val="auto"/>
          <w:sz w:val="28"/>
          <w:szCs w:val="28"/>
          <w:highlight w:val="none"/>
          <w:lang w:eastAsia="zh-CN"/>
        </w:rPr>
      </w:pPr>
      <w:r>
        <w:rPr>
          <w:rStyle w:val="1345"/>
          <w:rFonts w:hint="eastAsia" w:ascii="仿宋" w:hAnsi="仿宋" w:eastAsia="仿宋" w:cs="仿宋"/>
          <w:color w:val="auto"/>
          <w:sz w:val="28"/>
          <w:szCs w:val="28"/>
          <w:highlight w:val="none"/>
        </w:rPr>
        <w:t xml:space="preserve">项目编号：</w:t>
      </w:r>
      <w:r>
        <w:rPr>
          <w:rStyle w:val="1345"/>
          <w:rFonts w:hint="eastAsia" w:ascii="仿宋" w:hAnsi="仿宋" w:eastAsia="仿宋" w:cs="仿宋"/>
          <w:color w:val="auto"/>
          <w:sz w:val="28"/>
          <w:szCs w:val="28"/>
          <w:highlight w:val="none"/>
          <w:lang w:eastAsia="zh-CN"/>
        </w:rPr>
        <w:t xml:space="preserve">JSZC-320300-JSKJ-C2025-0066</w:t>
      </w:r>
      <w:r/>
    </w:p>
    <w:p>
      <w:pPr>
        <w:pStyle w:val="1075"/>
        <w:ind w:left="839" w:firstLine="420"/>
        <w:jc w:val="left"/>
        <w:keepLines w:val="0"/>
        <w:keepNext w:val="0"/>
        <w:pageBreakBefore w:val="0"/>
        <w:spacing w:line="480" w:lineRule="auto"/>
        <w:widowControl w:val="off"/>
        <w:rPr>
          <w:rStyle w:val="1345"/>
          <w:rFonts w:hint="eastAsia" w:ascii="仿宋" w:hAnsi="仿宋" w:eastAsia="仿宋" w:cs="仿宋"/>
          <w:color w:val="auto"/>
          <w:sz w:val="28"/>
          <w:szCs w:val="28"/>
          <w:highlight w:val="none"/>
          <w:lang w:eastAsia="zh-CN"/>
        </w:rPr>
      </w:pPr>
      <w:r>
        <w:rPr>
          <w:rStyle w:val="1345"/>
          <w:rFonts w:hint="eastAsia" w:ascii="仿宋" w:hAnsi="仿宋" w:eastAsia="仿宋" w:cs="仿宋"/>
          <w:color w:val="auto"/>
          <w:sz w:val="28"/>
          <w:szCs w:val="28"/>
          <w:highlight w:val="none"/>
        </w:rPr>
        <w:t xml:space="preserve">采 购 人：</w:t>
      </w:r>
      <w:r>
        <w:rPr>
          <w:rStyle w:val="1345"/>
          <w:rFonts w:hint="eastAsia" w:ascii="仿宋" w:hAnsi="仿宋" w:eastAsia="仿宋" w:cs="仿宋"/>
          <w:color w:val="auto"/>
          <w:sz w:val="28"/>
          <w:szCs w:val="28"/>
          <w:highlight w:val="none"/>
          <w:lang w:eastAsia="zh-CN"/>
        </w:rPr>
        <w:t xml:space="preserve">徐州市住房和城乡建设局</w:t>
      </w:r>
      <w:r/>
    </w:p>
    <w:p>
      <w:pPr>
        <w:pStyle w:val="1075"/>
        <w:ind w:firstLine="96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firstLine="96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6"/>
        <w:pageBreakBefore w:val="0"/>
        <w:spacing w:line="312" w:lineRule="auto"/>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firstLine="96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mc:AlternateContent>
          <mc:Choice Requires="wpg">
            <w:drawing>
              <wp:inline xmlns:wp="http://schemas.openxmlformats.org/drawingml/2006/wordprocessingDrawing" distT="0" distB="0" distL="0" distR="0">
                <wp:extent cx="4776470" cy="685800"/>
                <wp:effectExtent l="0" t="0" r="508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27"/>
                        <a:stretch/>
                      </pic:blipFill>
                      <pic:spPr bwMode="auto">
                        <a:xfrm>
                          <a:off x="0" y="0"/>
                          <a:ext cx="477647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6.1pt;height:54.0pt;mso-wrap-distance-left:0.0pt;mso-wrap-distance-top:0.0pt;mso-wrap-distance-right:0.0pt;mso-wrap-distance-bottom:0.0pt;" stroked="f">
                <v:path textboxrect="0,0,0,0"/>
                <v:imagedata r:id="rId27" o:title=""/>
              </v:shape>
            </w:pict>
          </mc:Fallback>
        </mc:AlternateContent>
      </w:r>
      <w:r/>
    </w:p>
    <w:p>
      <w:pPr>
        <w:pStyle w:val="1076"/>
        <w:ind w:left="0" w:right="0" w:firstLine="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6"/>
        <w:ind w:left="0" w:right="0" w:firstLine="56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8"/>
          <w:szCs w:val="28"/>
          <w:highlight w:val="none"/>
        </w:rPr>
        <w:t xml:space="preserve">二〇二</w:t>
      </w:r>
      <w:r>
        <w:rPr>
          <w:rStyle w:val="1345"/>
          <w:rFonts w:hint="eastAsia" w:ascii="仿宋" w:hAnsi="仿宋" w:eastAsia="仿宋" w:cs="仿宋"/>
          <w:color w:val="auto"/>
          <w:sz w:val="28"/>
          <w:szCs w:val="28"/>
          <w:highlight w:val="none"/>
          <w:lang w:val="en-US" w:eastAsia="zh-CN"/>
        </w:rPr>
        <w:t xml:space="preserve">五</w:t>
      </w:r>
      <w:r>
        <w:rPr>
          <w:rStyle w:val="1345"/>
          <w:rFonts w:hint="eastAsia" w:ascii="仿宋" w:hAnsi="仿宋" w:eastAsia="仿宋" w:cs="仿宋"/>
          <w:color w:val="auto"/>
          <w:sz w:val="28"/>
          <w:szCs w:val="28"/>
          <w:highlight w:val="none"/>
        </w:rPr>
        <w:t xml:space="preserve">年</w:t>
      </w:r>
      <w:r>
        <w:rPr>
          <w:rStyle w:val="1345"/>
          <w:rFonts w:hint="eastAsia" w:ascii="仿宋" w:hAnsi="仿宋" w:eastAsia="仿宋" w:cs="仿宋"/>
          <w:color w:val="auto"/>
          <w:sz w:val="28"/>
          <w:szCs w:val="28"/>
          <w:highlight w:val="none"/>
          <w:lang w:val="en-US" w:eastAsia="zh-CN"/>
        </w:rPr>
        <w:t xml:space="preserve">十</w:t>
      </w:r>
      <w:r>
        <w:rPr>
          <w:rStyle w:val="1345"/>
          <w:rFonts w:hint="eastAsia" w:ascii="仿宋" w:hAnsi="仿宋" w:eastAsia="仿宋" w:cs="仿宋"/>
          <w:color w:val="auto"/>
          <w:sz w:val="28"/>
          <w:szCs w:val="28"/>
          <w:highlight w:val="none"/>
        </w:rPr>
        <w:t xml:space="preserve">月</w:t>
      </w:r>
      <w:r>
        <w:rPr>
          <w:rStyle w:val="1345"/>
          <w:rFonts w:hint="eastAsia" w:ascii="仿宋" w:hAnsi="仿宋" w:eastAsia="仿宋" w:cs="仿宋"/>
          <w:color w:val="auto"/>
          <w:sz w:val="24"/>
          <w:szCs w:val="24"/>
          <w:highlight w:val="none"/>
        </w:rPr>
        <w:t xml:space="preserve"> </w:t>
      </w:r>
      <w:r/>
    </w:p>
    <w:p>
      <w:pPr>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color w:val="auto"/>
          <w:sz w:val="24"/>
          <w:szCs w:val="24"/>
          <w:highlight w:val="none"/>
        </w:rPr>
      </w:sdtPr>
      <w:sdtContent>
        <w:p>
          <w:pPr>
            <w:jc w:val="center"/>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目录</w:t>
          </w:r>
          <w:r/>
        </w:p>
        <w:p>
          <w:pPr>
            <w:pStyle w:val="1094"/>
            <w:tabs>
              <w:tab w:val="right" w:pos="9692" w:leader="dot"/>
            </w:tabs>
            <w:rPr>
              <w:color w:val="auto"/>
              <w:highlight w:val="none"/>
            </w:rPr>
          </w:pPr>
          <w:r>
            <w:rPr>
              <w:rFonts w:hint="eastAsia" w:ascii="仿宋" w:hAnsi="仿宋" w:eastAsia="仿宋" w:cs="仿宋"/>
              <w:b/>
              <w:bCs/>
              <w:color w:val="auto"/>
              <w:sz w:val="24"/>
              <w:szCs w:val="24"/>
              <w:highlight w:val="none"/>
              <w:lang w:val="zh-CN"/>
            </w:rPr>
            <w:fldChar w:fldCharType="begin"/>
          </w:r>
          <w:r>
            <w:rPr>
              <w:rFonts w:hint="eastAsia" w:ascii="仿宋" w:hAnsi="仿宋" w:eastAsia="仿宋" w:cs="仿宋"/>
              <w:b/>
              <w:bCs/>
              <w:color w:val="auto"/>
              <w:sz w:val="24"/>
              <w:szCs w:val="24"/>
              <w:highlight w:val="none"/>
              <w:lang w:val="zh-CN"/>
            </w:rPr>
            <w:instrText xml:space="preserve">TOC \o "1-2" \h \u </w:instrText>
          </w:r>
          <w:r>
            <w:rPr>
              <w:rFonts w:hint="eastAsia" w:ascii="仿宋" w:hAnsi="仿宋" w:eastAsia="仿宋" w:cs="仿宋"/>
              <w:b/>
              <w:bCs/>
              <w:color w:val="auto"/>
              <w:sz w:val="24"/>
              <w:szCs w:val="24"/>
              <w:highlight w:val="none"/>
              <w:lang w:val="zh-CN"/>
            </w:rPr>
            <w:fldChar w:fldCharType="separate"/>
          </w: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_Toc8947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第一章 项目说明</w:t>
          </w:r>
          <w:r>
            <w:rPr>
              <w:color w:val="auto"/>
              <w:highlight w:val="none"/>
            </w:rPr>
            <w:tab/>
          </w:r>
          <w:r>
            <w:rPr>
              <w:color w:val="auto"/>
              <w:highlight w:val="none"/>
            </w:rPr>
            <w:fldChar w:fldCharType="begin"/>
          </w:r>
          <w:r>
            <w:rPr>
              <w:color w:val="auto"/>
              <w:highlight w:val="none"/>
            </w:rPr>
            <w:instrText xml:space="preserve"> PAGEREF _Toc8947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_Toc18291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第二章 响应文件要求</w:t>
          </w:r>
          <w:r>
            <w:rPr>
              <w:color w:val="auto"/>
              <w:highlight w:val="none"/>
            </w:rPr>
            <w:tab/>
          </w:r>
          <w:r>
            <w:rPr>
              <w:color w:val="auto"/>
              <w:highlight w:val="none"/>
            </w:rPr>
            <w:fldChar w:fldCharType="begin"/>
          </w:r>
          <w:r>
            <w:rPr>
              <w:color w:val="auto"/>
              <w:highlight w:val="none"/>
            </w:rPr>
            <w:instrText xml:space="preserve"> PAGEREF _Toc18291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_Toc1039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第三章 磋商相关说明</w:t>
          </w:r>
          <w:r>
            <w:rPr>
              <w:color w:val="auto"/>
              <w:highlight w:val="none"/>
            </w:rPr>
            <w:tab/>
          </w:r>
          <w:r>
            <w:rPr>
              <w:color w:val="auto"/>
              <w:highlight w:val="none"/>
            </w:rPr>
            <w:fldChar w:fldCharType="begin"/>
          </w:r>
          <w:r>
            <w:rPr>
              <w:color w:val="auto"/>
              <w:highlight w:val="none"/>
            </w:rPr>
            <w:instrText xml:space="preserve"> PAGEREF _Toc1039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_Toc2323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第四章 确定成交供应商及合同签订等</w:t>
          </w:r>
          <w:r>
            <w:rPr>
              <w:color w:val="auto"/>
              <w:highlight w:val="none"/>
            </w:rPr>
            <w:tab/>
          </w:r>
          <w:r>
            <w:rPr>
              <w:color w:val="auto"/>
              <w:highlight w:val="none"/>
            </w:rPr>
            <w:fldChar w:fldCharType="begin"/>
          </w:r>
          <w:r>
            <w:rPr>
              <w:color w:val="auto"/>
              <w:highlight w:val="none"/>
            </w:rPr>
            <w:instrText xml:space="preserve"> PAGEREF _Toc2323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_Toc24041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第五章 磋商文件的澄清或者修改</w:t>
          </w:r>
          <w:r>
            <w:rPr>
              <w:color w:val="auto"/>
              <w:highlight w:val="none"/>
            </w:rPr>
            <w:tab/>
          </w:r>
          <w:r>
            <w:rPr>
              <w:color w:val="auto"/>
              <w:highlight w:val="none"/>
            </w:rPr>
            <w:fldChar w:fldCharType="begin"/>
          </w:r>
          <w:r>
            <w:rPr>
              <w:color w:val="auto"/>
              <w:highlight w:val="none"/>
            </w:rPr>
            <w:instrText xml:space="preserve"> PAGEREF _Toc24041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_Toc13941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第六章 询问和质疑</w:t>
          </w:r>
          <w:r>
            <w:rPr>
              <w:color w:val="auto"/>
              <w:highlight w:val="none"/>
            </w:rPr>
            <w:tab/>
          </w:r>
          <w:r>
            <w:rPr>
              <w:color w:val="auto"/>
              <w:highlight w:val="none"/>
            </w:rPr>
            <w:fldChar w:fldCharType="begin"/>
          </w:r>
          <w:r>
            <w:rPr>
              <w:color w:val="auto"/>
              <w:highlight w:val="none"/>
            </w:rPr>
            <w:instrText xml:space="preserve"> PAGEREF _Toc13941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_Toc24472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第七章 评分细则（综合评分法）</w:t>
          </w:r>
          <w:r>
            <w:rPr>
              <w:color w:val="auto"/>
              <w:highlight w:val="none"/>
            </w:rPr>
            <w:tab/>
          </w:r>
          <w:r>
            <w:rPr>
              <w:color w:val="auto"/>
              <w:highlight w:val="none"/>
            </w:rPr>
            <w:fldChar w:fldCharType="begin"/>
          </w:r>
          <w:r>
            <w:rPr>
              <w:color w:val="auto"/>
              <w:highlight w:val="none"/>
            </w:rPr>
            <w:instrText xml:space="preserve"> PAGEREF _Toc24472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_Toc25608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第八章 项目要求（采购需求）</w:t>
          </w:r>
          <w:r>
            <w:rPr>
              <w:color w:val="auto"/>
              <w:highlight w:val="none"/>
            </w:rPr>
            <w:tab/>
          </w:r>
          <w:r>
            <w:rPr>
              <w:color w:val="auto"/>
              <w:highlight w:val="none"/>
            </w:rPr>
            <w:fldChar w:fldCharType="begin"/>
          </w:r>
          <w:r>
            <w:rPr>
              <w:color w:val="auto"/>
              <w:highlight w:val="none"/>
            </w:rPr>
            <w:instrText xml:space="preserve"> PAGEREF _Toc25608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_Toc20131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第九章 响应文件相关格式</w:t>
          </w:r>
          <w:r>
            <w:rPr>
              <w:color w:val="auto"/>
              <w:highlight w:val="none"/>
            </w:rPr>
            <w:tab/>
          </w:r>
          <w:r>
            <w:rPr>
              <w:color w:val="auto"/>
              <w:highlight w:val="none"/>
            </w:rPr>
            <w:fldChar w:fldCharType="begin"/>
          </w:r>
          <w:r>
            <w:rPr>
              <w:color w:val="auto"/>
              <w:highlight w:val="none"/>
            </w:rPr>
            <w:instrText xml:space="preserve"> PAGEREF _Toc20131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_Toc193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一、承诺书</w:t>
          </w:r>
          <w:r>
            <w:rPr>
              <w:color w:val="auto"/>
              <w:highlight w:val="none"/>
            </w:rPr>
            <w:tab/>
          </w:r>
          <w:r>
            <w:rPr>
              <w:color w:val="auto"/>
              <w:highlight w:val="none"/>
            </w:rPr>
            <w:fldChar w:fldCharType="begin"/>
          </w:r>
          <w:r>
            <w:rPr>
              <w:color w:val="auto"/>
              <w:highlight w:val="none"/>
            </w:rPr>
            <w:instrText xml:space="preserve"> PAGEREF _Toc193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_Toc18311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二、磋商报价表</w:t>
          </w:r>
          <w:r>
            <w:rPr>
              <w:color w:val="auto"/>
              <w:highlight w:val="none"/>
            </w:rPr>
            <w:tab/>
          </w:r>
          <w:r>
            <w:rPr>
              <w:color w:val="auto"/>
              <w:highlight w:val="none"/>
            </w:rPr>
            <w:fldChar w:fldCharType="begin"/>
          </w:r>
          <w:r>
            <w:rPr>
              <w:color w:val="auto"/>
              <w:highlight w:val="none"/>
            </w:rPr>
            <w:instrText xml:space="preserve"> PAGEREF _Toc18311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_Toc771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三、分项价格表</w:t>
          </w:r>
          <w:r>
            <w:rPr>
              <w:color w:val="auto"/>
              <w:highlight w:val="none"/>
            </w:rPr>
            <w:tab/>
          </w:r>
          <w:r>
            <w:rPr>
              <w:color w:val="auto"/>
              <w:highlight w:val="none"/>
            </w:rPr>
            <w:fldChar w:fldCharType="begin"/>
          </w:r>
          <w:r>
            <w:rPr>
              <w:color w:val="auto"/>
              <w:highlight w:val="none"/>
            </w:rPr>
            <w:instrText xml:space="preserve"> PAGEREF _Toc771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_Toc27536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四</w:t>
          </w:r>
          <w:r>
            <w:rPr>
              <w:rFonts w:hint="eastAsia" w:ascii="仿宋" w:hAnsi="仿宋" w:eastAsia="仿宋" w:cs="仿宋"/>
              <w:color w:val="auto"/>
              <w:szCs w:val="24"/>
              <w:highlight w:val="none"/>
            </w:rPr>
            <w:t xml:space="preserve">、</w:t>
          </w:r>
          <w:r>
            <w:rPr>
              <w:rFonts w:hint="eastAsia" w:ascii="仿宋" w:hAnsi="仿宋" w:eastAsia="仿宋" w:cs="仿宋"/>
              <w:bCs/>
              <w:color w:val="auto"/>
              <w:szCs w:val="24"/>
              <w:highlight w:val="none"/>
            </w:rPr>
            <w:t xml:space="preserve">偏离表</w:t>
          </w:r>
          <w:r>
            <w:rPr>
              <w:color w:val="auto"/>
              <w:highlight w:val="none"/>
            </w:rPr>
            <w:tab/>
          </w:r>
          <w:r>
            <w:rPr>
              <w:color w:val="auto"/>
              <w:highlight w:val="none"/>
            </w:rPr>
            <w:fldChar w:fldCharType="begin"/>
          </w:r>
          <w:r>
            <w:rPr>
              <w:color w:val="auto"/>
              <w:highlight w:val="none"/>
            </w:rPr>
            <w:instrText xml:space="preserve"> PAGEREF _Toc27536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ind w:left="283"/>
            <w:keepLines w:val="0"/>
            <w:keepNext w:val="0"/>
            <w:pageBreakBefore w:val="0"/>
            <w:spacing w:line="360" w:lineRule="auto"/>
            <w:widowControl/>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_Toc16794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五</w:t>
          </w:r>
          <w:r>
            <w:rPr>
              <w:rFonts w:hint="eastAsia" w:ascii="仿宋" w:hAnsi="仿宋" w:eastAsia="仿宋" w:cs="仿宋"/>
              <w:color w:val="auto"/>
              <w:szCs w:val="24"/>
              <w:highlight w:val="none"/>
            </w:rPr>
            <w:t xml:space="preserve">、授权委托书</w:t>
          </w:r>
          <w:r>
            <w:rPr>
              <w:color w:val="auto"/>
              <w:highlight w:val="none"/>
            </w:rPr>
            <w:tab/>
          </w:r>
          <w:r>
            <w:rPr>
              <w:color w:val="auto"/>
              <w:highlight w:val="none"/>
            </w:rPr>
            <w:fldChar w:fldCharType="begin"/>
          </w:r>
          <w:r>
            <w:rPr>
              <w:color w:val="auto"/>
              <w:highlight w:val="none"/>
            </w:rPr>
            <w:instrText xml:space="preserve"> PAGEREF _Toc16794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_Toc11872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六</w:t>
          </w:r>
          <w:r>
            <w:rPr>
              <w:rFonts w:hint="eastAsia" w:ascii="仿宋" w:hAnsi="仿宋" w:eastAsia="仿宋" w:cs="仿宋"/>
              <w:color w:val="auto"/>
              <w:szCs w:val="24"/>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_Toc11872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_Toc402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rPr>
            <w:t xml:space="preserve">七</w:t>
          </w:r>
          <w:r>
            <w:rPr>
              <w:rFonts w:hint="eastAsia" w:ascii="仿宋" w:hAnsi="仿宋" w:eastAsia="仿宋" w:cs="仿宋"/>
              <w:bCs/>
              <w:color w:val="auto"/>
              <w:szCs w:val="24"/>
              <w:highlight w:val="none"/>
            </w:rPr>
            <w:t xml:space="preserve">、残疾人福利性单位声明函</w:t>
          </w:r>
          <w:r>
            <w:rPr>
              <w:rFonts w:hint="eastAsia" w:ascii="仿宋" w:hAnsi="仿宋" w:eastAsia="仿宋" w:cs="仿宋"/>
              <w:bCs/>
              <w:color w:val="auto"/>
              <w:szCs w:val="24"/>
              <w:highlight w:val="none"/>
              <w:lang w:eastAsia="zh-CN"/>
            </w:rPr>
            <w:t xml:space="preserve">（</w:t>
          </w:r>
          <w:r>
            <w:rPr>
              <w:rFonts w:hint="eastAsia" w:ascii="仿宋" w:hAnsi="仿宋" w:eastAsia="仿宋" w:cs="仿宋"/>
              <w:bCs/>
              <w:color w:val="auto"/>
              <w:szCs w:val="24"/>
              <w:highlight w:val="none"/>
              <w:lang w:val="en-US" w:eastAsia="zh-CN"/>
            </w:rPr>
            <w:t xml:space="preserve">非</w:t>
          </w:r>
          <w:r>
            <w:rPr>
              <w:rFonts w:hint="eastAsia" w:ascii="仿宋" w:hAnsi="仿宋" w:eastAsia="仿宋" w:cs="仿宋"/>
              <w:bCs/>
              <w:color w:val="auto"/>
              <w:szCs w:val="24"/>
              <w:highlight w:val="none"/>
            </w:rPr>
            <w:t xml:space="preserve">残疾人福利性单位</w:t>
          </w:r>
          <w:r>
            <w:rPr>
              <w:rFonts w:hint="eastAsia" w:ascii="仿宋" w:hAnsi="仿宋" w:eastAsia="仿宋" w:cs="仿宋"/>
              <w:bCs/>
              <w:color w:val="auto"/>
              <w:szCs w:val="24"/>
              <w:highlight w:val="none"/>
              <w:lang w:val="en-US" w:eastAsia="zh-CN"/>
            </w:rPr>
            <w:t xml:space="preserve">可以不提供）</w:t>
          </w:r>
          <w:r>
            <w:rPr>
              <w:color w:val="auto"/>
              <w:highlight w:val="none"/>
            </w:rPr>
            <w:tab/>
          </w:r>
          <w:r>
            <w:rPr>
              <w:color w:val="auto"/>
              <w:highlight w:val="none"/>
            </w:rPr>
            <w:fldChar w:fldCharType="begin"/>
          </w:r>
          <w:r>
            <w:rPr>
              <w:color w:val="auto"/>
              <w:highlight w:val="none"/>
            </w:rPr>
            <w:instrText xml:space="preserve"> PAGEREF _Toc402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_Toc18653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八</w:t>
          </w:r>
          <w:r>
            <w:rPr>
              <w:rFonts w:hint="eastAsia" w:ascii="仿宋" w:hAnsi="仿宋" w:eastAsia="仿宋" w:cs="仿宋"/>
              <w:color w:val="auto"/>
              <w:szCs w:val="24"/>
              <w:highlight w:val="none"/>
            </w:rPr>
            <w:t xml:space="preserve">、供应商参加政府采购活动前3年内在经营活动中没有重大违法记录的书面声明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_Toc18653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_Toc18439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九</w:t>
          </w:r>
          <w:r>
            <w:rPr>
              <w:rFonts w:hint="eastAsia" w:ascii="仿宋" w:hAnsi="仿宋" w:eastAsia="仿宋" w:cs="仿宋"/>
              <w:color w:val="auto"/>
              <w:szCs w:val="24"/>
              <w:highlight w:val="none"/>
            </w:rPr>
            <w:t xml:space="preserve">、具备履行合同所必需的设备和专业技术能力的书面声明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_Toc18439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_Toc17499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bidi="ar-SA"/>
            </w:rPr>
            <w:t xml:space="preserve">十、供应商相关承诺</w:t>
          </w:r>
          <w:r>
            <w:rPr>
              <w:color w:val="auto"/>
              <w:highlight w:val="none"/>
            </w:rPr>
            <w:tab/>
          </w:r>
          <w:r>
            <w:rPr>
              <w:color w:val="auto"/>
              <w:highlight w:val="none"/>
            </w:rPr>
            <w:fldChar w:fldCharType="begin"/>
          </w:r>
          <w:r>
            <w:rPr>
              <w:color w:val="auto"/>
              <w:highlight w:val="none"/>
            </w:rPr>
            <w:instrText xml:space="preserve"> PAGEREF _Toc17499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_Toc14100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rPr>
            <w:t xml:space="preserve">十一、供应商</w:t>
          </w:r>
          <w:r>
            <w:rPr>
              <w:rFonts w:hint="eastAsia" w:ascii="仿宋" w:hAnsi="仿宋" w:eastAsia="仿宋" w:cs="仿宋"/>
              <w:bCs/>
              <w:color w:val="auto"/>
              <w:szCs w:val="24"/>
              <w:highlight w:val="none"/>
              <w:lang w:val="en-US" w:eastAsia="zh-CN"/>
            </w:rPr>
            <w:t xml:space="preserve">书面声明</w:t>
          </w:r>
          <w:r>
            <w:rPr>
              <w:color w:val="auto"/>
              <w:highlight w:val="none"/>
            </w:rPr>
            <w:tab/>
          </w:r>
          <w:r>
            <w:rPr>
              <w:color w:val="auto"/>
              <w:highlight w:val="none"/>
            </w:rPr>
            <w:fldChar w:fldCharType="begin"/>
          </w:r>
          <w:r>
            <w:rPr>
              <w:color w:val="auto"/>
              <w:highlight w:val="none"/>
            </w:rPr>
            <w:instrText xml:space="preserve"> PAGEREF _Toc14100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_Toc26683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lang w:val="en-US" w:eastAsia="zh-CN"/>
            </w:rPr>
            <w:t xml:space="preserve">十二、</w:t>
          </w:r>
          <w:r>
            <w:rPr>
              <w:rFonts w:hint="eastAsia" w:ascii="仿宋" w:hAnsi="仿宋" w:eastAsia="仿宋" w:cs="仿宋"/>
              <w:color w:val="auto"/>
              <w:szCs w:val="24"/>
              <w:highlight w:val="none"/>
            </w:rPr>
            <w:t xml:space="preserve">项目总负责人简历表</w:t>
          </w:r>
          <w:r>
            <w:rPr>
              <w:color w:val="auto"/>
              <w:highlight w:val="none"/>
            </w:rPr>
            <w:tab/>
          </w:r>
          <w:r>
            <w:rPr>
              <w:color w:val="auto"/>
              <w:highlight w:val="none"/>
            </w:rPr>
            <w:fldChar w:fldCharType="begin"/>
          </w:r>
          <w:r>
            <w:rPr>
              <w:color w:val="auto"/>
              <w:highlight w:val="none"/>
            </w:rPr>
            <w:instrText xml:space="preserve"> PAGEREF _Toc26683 \h </w:instrText>
          </w:r>
          <w:r>
            <w:rPr>
              <w:color w:val="auto"/>
              <w:highlight w:val="none"/>
            </w:rPr>
            <w:fldChar w:fldCharType="separate"/>
          </w:r>
          <w:r>
            <w:rPr>
              <w:color w:val="auto"/>
              <w:highlight w:val="none"/>
            </w:rPr>
            <w:t xml:space="preserve">31</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_Toc14214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8"/>
              <w:highlight w:val="none"/>
              <w:lang w:val="en-US" w:eastAsia="zh-CN"/>
            </w:rPr>
            <w:t xml:space="preserve">十三 、1工作人员配备要求</w:t>
          </w:r>
          <w:r>
            <w:rPr>
              <w:color w:val="auto"/>
              <w:highlight w:val="none"/>
            </w:rPr>
            <w:tab/>
          </w:r>
          <w:r>
            <w:rPr>
              <w:color w:val="auto"/>
              <w:highlight w:val="none"/>
            </w:rPr>
            <w:fldChar w:fldCharType="begin"/>
          </w:r>
          <w:r>
            <w:rPr>
              <w:color w:val="auto"/>
              <w:highlight w:val="none"/>
            </w:rPr>
            <w:instrText xml:space="preserve"> PAGEREF _Toc14214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_Toc25939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十三、2供应商对“工作人员配备要求”的承诺</w:t>
          </w:r>
          <w:r>
            <w:rPr>
              <w:color w:val="auto"/>
              <w:highlight w:val="none"/>
            </w:rPr>
            <w:tab/>
          </w:r>
          <w:r>
            <w:rPr>
              <w:color w:val="auto"/>
              <w:highlight w:val="none"/>
            </w:rPr>
            <w:fldChar w:fldCharType="begin"/>
          </w:r>
          <w:r>
            <w:rPr>
              <w:color w:val="auto"/>
              <w:highlight w:val="none"/>
            </w:rPr>
            <w:instrText xml:space="preserve"> PAGEREF _Toc25939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_Toc32016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lang w:val="en-US" w:eastAsia="zh-CN"/>
            </w:rPr>
            <w:t xml:space="preserve">十四.供应商对“养护管理机械机具设备配置要求”的承诺</w:t>
          </w:r>
          <w:r>
            <w:rPr>
              <w:color w:val="auto"/>
              <w:highlight w:val="none"/>
            </w:rPr>
            <w:tab/>
          </w:r>
          <w:r>
            <w:rPr>
              <w:color w:val="auto"/>
              <w:highlight w:val="none"/>
            </w:rPr>
            <w:fldChar w:fldCharType="begin"/>
          </w:r>
          <w:r>
            <w:rPr>
              <w:color w:val="auto"/>
              <w:highlight w:val="none"/>
            </w:rPr>
            <w:instrText xml:space="preserve"> PAGEREF _Toc32016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100"/>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_Toc13794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十</w:t>
          </w:r>
          <w:r>
            <w:rPr>
              <w:rFonts w:hint="eastAsia" w:ascii="仿宋" w:hAnsi="仿宋" w:eastAsia="仿宋" w:cs="仿宋"/>
              <w:bCs/>
              <w:color w:val="auto"/>
              <w:szCs w:val="24"/>
              <w:highlight w:val="none"/>
              <w:lang w:val="en-US" w:eastAsia="zh-CN"/>
            </w:rPr>
            <w:t xml:space="preserve">五</w:t>
          </w:r>
          <w:r>
            <w:rPr>
              <w:rFonts w:hint="eastAsia" w:ascii="仿宋" w:hAnsi="仿宋" w:eastAsia="仿宋" w:cs="仿宋"/>
              <w:bCs/>
              <w:color w:val="auto"/>
              <w:szCs w:val="24"/>
              <w:highlight w:val="none"/>
            </w:rPr>
            <w:t xml:space="preserve">、预付款保函支付条款模板</w:t>
          </w:r>
          <w:r>
            <w:rPr>
              <w:color w:val="auto"/>
              <w:highlight w:val="none"/>
            </w:rPr>
            <w:tab/>
          </w:r>
          <w:r>
            <w:rPr>
              <w:color w:val="auto"/>
              <w:highlight w:val="none"/>
            </w:rPr>
            <w:fldChar w:fldCharType="begin"/>
          </w:r>
          <w:r>
            <w:rPr>
              <w:color w:val="auto"/>
              <w:highlight w:val="none"/>
            </w:rPr>
            <w:instrText xml:space="preserve"> PAGEREF _Toc13794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_Toc8447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bCs/>
              <w:color w:val="auto"/>
              <w:szCs w:val="24"/>
              <w:highlight w:val="none"/>
            </w:rPr>
            <w:t xml:space="preserve">第十章 拟签订的合同文本</w:t>
          </w:r>
          <w:r>
            <w:rPr>
              <w:color w:val="auto"/>
              <w:highlight w:val="none"/>
            </w:rPr>
            <w:tab/>
          </w:r>
          <w:r>
            <w:rPr>
              <w:color w:val="auto"/>
              <w:highlight w:val="none"/>
            </w:rPr>
            <w:fldChar w:fldCharType="begin"/>
          </w:r>
          <w:r>
            <w:rPr>
              <w:color w:val="auto"/>
              <w:highlight w:val="none"/>
            </w:rPr>
            <w:instrText xml:space="preserve"> PAGEREF _Toc8447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094"/>
            <w:tabs>
              <w:tab w:val="right" w:pos="9692" w:leader="dot"/>
            </w:tabs>
            <w:rPr>
              <w:color w:val="auto"/>
              <w:highlight w:val="none"/>
            </w:rPr>
          </w:pPr>
          <w:r>
            <w:rPr>
              <w:rFonts w:hint="eastAsia" w:ascii="仿宋" w:hAnsi="仿宋" w:eastAsia="仿宋" w:cs="仿宋"/>
              <w:bCs/>
              <w:color w:val="auto"/>
              <w:szCs w:val="24"/>
              <w:highlight w:val="none"/>
              <w:lang w:val="zh-CN"/>
            </w:rPr>
            <w:fldChar w:fldCharType="begin"/>
          </w:r>
          <w:r>
            <w:rPr>
              <w:rFonts w:hint="eastAsia" w:ascii="仿宋" w:hAnsi="仿宋" w:eastAsia="仿宋" w:cs="仿宋"/>
              <w:bCs/>
              <w:color w:val="auto"/>
              <w:szCs w:val="24"/>
              <w:highlight w:val="none"/>
              <w:lang w:val="zh-CN"/>
            </w:rPr>
            <w:instrText xml:space="preserve"> HYPERLINK \l _Toc7646 </w:instrText>
          </w:r>
          <w:r>
            <w:rPr>
              <w:rFonts w:hint="eastAsia" w:ascii="仿宋" w:hAnsi="仿宋" w:eastAsia="仿宋" w:cs="仿宋"/>
              <w:bCs/>
              <w:color w:val="auto"/>
              <w:szCs w:val="24"/>
              <w:highlight w:val="none"/>
              <w:lang w:val="zh-CN"/>
            </w:rPr>
            <w:fldChar w:fldCharType="separate"/>
          </w:r>
          <w:r>
            <w:rPr>
              <w:rFonts w:hint="eastAsia" w:ascii="仿宋" w:hAnsi="仿宋" w:eastAsia="仿宋" w:cs="仿宋"/>
              <w:color w:val="auto"/>
              <w:szCs w:val="24"/>
              <w:highlight w:val="none"/>
            </w:rPr>
            <w:t xml:space="preserve">第十一章 《徐州市政府采购业务代理服务费行业指导价格标准》</w:t>
          </w:r>
          <w:r>
            <w:rPr>
              <w:color w:val="auto"/>
              <w:highlight w:val="none"/>
            </w:rPr>
            <w:tab/>
          </w:r>
          <w:r>
            <w:rPr>
              <w:color w:val="auto"/>
              <w:highlight w:val="none"/>
            </w:rPr>
            <w:fldChar w:fldCharType="begin"/>
          </w:r>
          <w:r>
            <w:rPr>
              <w:color w:val="auto"/>
              <w:highlight w:val="none"/>
            </w:rPr>
            <w:instrText xml:space="preserve"> PAGEREF _Toc7646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仿宋" w:hAnsi="仿宋" w:eastAsia="仿宋" w:cs="仿宋"/>
              <w:bCs/>
              <w:color w:val="auto"/>
              <w:szCs w:val="24"/>
              <w:highlight w:val="none"/>
              <w:lang w:val="zh-CN"/>
            </w:rPr>
            <w:fldChar w:fldCharType="end"/>
          </w:r>
          <w:r/>
        </w:p>
        <w:p>
          <w:pPr>
            <w:pStyle w:val="1439"/>
            <w:jc w:val="both"/>
            <w:keepLines w:val="0"/>
            <w:keepNext w:val="0"/>
            <w:pageBreakBefore w:val="0"/>
            <w:spacing w:line="312" w:lineRule="auto"/>
            <w:widowControl w:val="off"/>
            <w:rPr>
              <w:rFonts w:hint="eastAsia" w:ascii="仿宋" w:hAnsi="仿宋" w:eastAsia="仿宋" w:cs="仿宋"/>
              <w:b/>
              <w:bCs/>
              <w:color w:val="auto"/>
              <w:sz w:val="24"/>
              <w:szCs w:val="24"/>
              <w:highlight w:val="none"/>
              <w:lang w:val="zh-CN"/>
            </w:rPr>
          </w:pPr>
          <w:r>
            <w:rPr>
              <w:rFonts w:hint="eastAsia" w:ascii="仿宋" w:hAnsi="仿宋" w:eastAsia="仿宋" w:cs="仿宋"/>
              <w:bCs/>
              <w:color w:val="auto"/>
              <w:szCs w:val="24"/>
              <w:highlight w:val="none"/>
              <w:lang w:val="zh-CN"/>
            </w:rPr>
            <w:fldChar w:fldCharType="end"/>
          </w:r>
          <w:r/>
        </w:p>
      </w:sdtContent>
    </w:sdt>
    <w:p>
      <w:pPr>
        <w:pStyle w:val="1075"/>
        <w:ind w:firstLine="320"/>
        <w:jc w:val="center"/>
        <w:pageBreakBefore w:val="0"/>
        <w:spacing w:line="312" w:lineRule="auto"/>
        <w:widowControl w:val="off"/>
        <w:rPr>
          <w:rStyle w:val="1345"/>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75"/>
        <w:ind w:firstLine="320"/>
        <w:jc w:val="center"/>
        <w:pageBreakBefore w:val="0"/>
        <w:spacing w:line="312" w:lineRule="auto"/>
        <w:widowControl w:val="off"/>
        <w:rPr>
          <w:rStyle w:val="1345"/>
          <w:rFonts w:hint="eastAsia" w:ascii="仿宋" w:hAnsi="仿宋" w:eastAsia="仿宋" w:cs="仿宋"/>
          <w:b/>
          <w:color w:val="auto"/>
          <w:sz w:val="24"/>
          <w:szCs w:val="24"/>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b/>
          <w:color w:val="auto"/>
          <w:sz w:val="24"/>
          <w:szCs w:val="24"/>
          <w:highlight w:val="none"/>
        </w:rPr>
      </w:pPr>
      <w:r>
        <w:rPr>
          <w:rStyle w:val="1345"/>
          <w:rFonts w:hint="eastAsia" w:ascii="仿宋" w:hAnsi="仿宋" w:eastAsia="仿宋" w:cs="仿宋"/>
          <w:b/>
          <w:color w:val="auto"/>
          <w:sz w:val="24"/>
          <w:szCs w:val="24"/>
          <w:highlight w:val="none"/>
        </w:rPr>
        <w:t xml:space="preserve">竞争性磋商文件</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项目编号：</w:t>
      </w:r>
      <w:r>
        <w:rPr>
          <w:rStyle w:val="1345"/>
          <w:rFonts w:hint="eastAsia" w:ascii="仿宋" w:hAnsi="仿宋" w:eastAsia="仿宋" w:cs="仿宋"/>
          <w:color w:val="auto"/>
          <w:sz w:val="24"/>
          <w:szCs w:val="24"/>
          <w:highlight w:val="none"/>
          <w:lang w:eastAsia="zh-CN"/>
        </w:rPr>
        <w:t xml:space="preserve">JSZC-320300-JSKJ-C2025-0066</w:t>
      </w:r>
      <w:r>
        <w:rPr>
          <w:rStyle w:val="1345"/>
          <w:rFonts w:hint="eastAsia" w:ascii="仿宋" w:hAnsi="仿宋" w:eastAsia="仿宋" w:cs="仿宋"/>
          <w:color w:val="auto"/>
          <w:sz w:val="24"/>
          <w:szCs w:val="24"/>
          <w:highlight w:val="none"/>
        </w:rPr>
        <w:t xml:space="preserve"> </w:t>
      </w:r>
      <w:r/>
    </w:p>
    <w:p>
      <w:pPr>
        <w:pStyle w:val="1075"/>
        <w:jc w:val="left"/>
        <w:pageBreakBefore w:val="0"/>
        <w:spacing w:line="312"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1075"/>
        <w:ind w:firstLine="499"/>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auto"/>
          <w:sz w:val="24"/>
          <w:szCs w:val="24"/>
          <w:highlight w:val="none"/>
          <w:u w:val="single"/>
        </w:rPr>
        <w:t xml:space="preserve">江苏科建工程项目管理有限公司</w:t>
      </w:r>
      <w:r>
        <w:rPr>
          <w:rStyle w:val="1345"/>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u w:val="single"/>
          <w:lang w:eastAsia="zh-CN"/>
        </w:rPr>
        <w:t xml:space="preserve">2025年徐州市新城区新移交市管道路绿地养护管理</w:t>
      </w:r>
      <w:r>
        <w:rPr>
          <w:rStyle w:val="1345"/>
          <w:rFonts w:hint="eastAsia" w:ascii="仿宋" w:hAnsi="仿宋" w:eastAsia="仿宋" w:cs="仿宋"/>
          <w:color w:val="auto"/>
          <w:sz w:val="24"/>
          <w:szCs w:val="24"/>
          <w:highlight w:val="none"/>
        </w:rPr>
        <w:t xml:space="preserve">采取竞争性磋商采购方式进行采购。如贵单位有意与本公司合作，请按以下竞争性磋商文件（以下简称磋商文件）要求参加磋商。</w:t>
      </w:r>
      <w:r/>
    </w:p>
    <w:p>
      <w:pPr>
        <w:pStyle w:val="1314"/>
        <w:jc w:val="center"/>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bookmarkStart w:id="0" w:name="_Toc21952"/>
      <w:r/>
      <w:bookmarkStart w:id="1" w:name="_Toc8947"/>
      <w:r/>
      <w:bookmarkStart w:id="2" w:name="_Toc80122283"/>
      <w:r>
        <w:rPr>
          <w:rStyle w:val="1345"/>
          <w:rFonts w:hint="eastAsia" w:ascii="仿宋" w:hAnsi="仿宋" w:eastAsia="仿宋" w:cs="仿宋"/>
          <w:color w:val="auto"/>
          <w:sz w:val="24"/>
          <w:szCs w:val="24"/>
          <w:highlight w:val="none"/>
        </w:rPr>
        <w:t xml:space="preserve">第一章 项目说明</w:t>
      </w:r>
      <w:bookmarkEnd w:id="0"/>
      <w:r/>
      <w:bookmarkEnd w:id="1"/>
      <w:r/>
      <w:bookmarkEnd w:id="2"/>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一、项目概况</w:t>
      </w:r>
      <w:r/>
    </w:p>
    <w:p>
      <w:pPr>
        <w:pStyle w:val="1075"/>
        <w:ind w:firstLine="480"/>
        <w:jc w:val="left"/>
        <w:pageBreakBefore w:val="0"/>
        <w:spacing w:line="312"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r>
        <w:rPr>
          <w:rFonts w:hint="eastAsia" w:ascii="仿宋" w:hAnsi="仿宋" w:eastAsia="仿宋" w:cs="仿宋"/>
          <w:color w:val="auto"/>
          <w:sz w:val="24"/>
          <w:szCs w:val="24"/>
          <w:highlight w:val="none"/>
          <w:lang w:eastAsia="zh-CN"/>
        </w:rPr>
        <w:t xml:space="preserve">徐州市住房和城乡建设局</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345"/>
          <w:rFonts w:hint="eastAsia" w:ascii="仿宋" w:hAnsi="仿宋" w:eastAsia="仿宋" w:cs="仿宋"/>
          <w:color w:val="auto"/>
          <w:sz w:val="24"/>
          <w:szCs w:val="24"/>
          <w:highlight w:val="none"/>
          <w:lang w:eastAsia="zh-CN"/>
        </w:rPr>
        <w:t xml:space="preserve">2025年徐州市新城区新移交市管道路绿地养护管理</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345"/>
          <w:rFonts w:hint="eastAsia" w:ascii="仿宋" w:hAnsi="仿宋" w:eastAsia="仿宋" w:cs="仿宋"/>
          <w:color w:val="auto"/>
          <w:sz w:val="24"/>
          <w:szCs w:val="24"/>
          <w:highlight w:val="none"/>
          <w:lang w:eastAsia="zh-CN"/>
        </w:rPr>
        <w:t xml:space="preserve">JSZC-320300-JSKJ-C2025-0066</w:t>
      </w:r>
      <w:r/>
    </w:p>
    <w:p>
      <w:pPr>
        <w:pStyle w:val="107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4、采购预算（采购项目预算金额）：详见第八章《项目要求（采购需求）》。</w:t>
      </w:r>
      <w:r/>
    </w:p>
    <w:p>
      <w:pPr>
        <w:pStyle w:val="107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二、采购需求：详见第八章《项目要求（采购需求）》。</w:t>
      </w:r>
      <w:r/>
    </w:p>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三、采购方式：本项目采用竞争性磋商采购方式。</w:t>
      </w:r>
      <w:r/>
    </w:p>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采购人确定的采购项目属性：</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w:t>
      </w:r>
      <w:r/>
    </w:p>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、采购邀请：通过发布公告的方式邀请符合相应资格条件的供应商参与竞争性磋商采购活动。</w:t>
      </w:r>
      <w:r/>
    </w:p>
    <w:p>
      <w:pPr>
        <w:pStyle w:val="107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、合同草案条款：见《磋商文件》</w:t>
      </w:r>
      <w:r>
        <w:rPr>
          <w:rFonts w:hint="eastAsia" w:ascii="仿宋" w:hAnsi="仿宋" w:eastAsia="仿宋" w:cs="仿宋"/>
          <w:color w:val="auto"/>
          <w:sz w:val="24"/>
          <w:szCs w:val="24"/>
          <w:highlight w:val="none"/>
          <w:lang w:val="en-US" w:eastAsia="zh-CN"/>
        </w:rPr>
        <w:t xml:space="preserve">第十章</w:t>
      </w:r>
      <w:r>
        <w:rPr>
          <w:rFonts w:hint="eastAsia" w:ascii="仿宋" w:hAnsi="仿宋" w:eastAsia="仿宋" w:cs="仿宋"/>
          <w:color w:val="auto"/>
          <w:sz w:val="24"/>
          <w:szCs w:val="24"/>
          <w:highlight w:val="none"/>
        </w:rPr>
        <w:t xml:space="preserve">《拟签订的合同文本》。</w:t>
      </w:r>
      <w:r/>
    </w:p>
    <w:p>
      <w:pPr>
        <w:pStyle w:val="1075"/>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七</w:t>
      </w:r>
      <w:r>
        <w:rPr>
          <w:rFonts w:hint="eastAsia" w:ascii="仿宋" w:hAnsi="仿宋" w:eastAsia="仿宋" w:cs="仿宋"/>
          <w:bCs/>
          <w:color w:val="auto"/>
          <w:sz w:val="24"/>
          <w:szCs w:val="24"/>
          <w:highlight w:val="none"/>
        </w:rPr>
        <w:t xml:space="preserve">、供应商</w:t>
      </w:r>
      <w:r>
        <w:rPr>
          <w:rFonts w:hint="eastAsia" w:ascii="仿宋" w:hAnsi="仿宋" w:eastAsia="仿宋" w:cs="仿宋"/>
          <w:color w:val="auto"/>
          <w:sz w:val="24"/>
          <w:szCs w:val="24"/>
          <w:highlight w:val="none"/>
        </w:rPr>
        <w:t xml:space="preserve">资格条件</w:t>
      </w:r>
      <w:r/>
    </w:p>
    <w:p>
      <w:pPr>
        <w:pStyle w:val="1075"/>
        <w:ind w:left="42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详</w:t>
      </w:r>
      <w:r>
        <w:rPr>
          <w:rFonts w:hint="eastAsia" w:ascii="仿宋" w:hAnsi="仿宋" w:eastAsia="仿宋" w:cs="仿宋"/>
          <w:color w:val="auto"/>
          <w:sz w:val="24"/>
          <w:szCs w:val="24"/>
          <w:highlight w:val="none"/>
        </w:rPr>
        <w:t xml:space="preserve">见</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竞争性磋商公告（项目编号：</w:t>
      </w:r>
      <w:r>
        <w:rPr>
          <w:rStyle w:val="1345"/>
          <w:rFonts w:hint="eastAsia" w:ascii="仿宋" w:hAnsi="仿宋" w:eastAsia="仿宋" w:cs="仿宋"/>
          <w:color w:val="auto"/>
          <w:sz w:val="24"/>
          <w:szCs w:val="24"/>
          <w:highlight w:val="none"/>
          <w:lang w:eastAsia="zh-CN"/>
        </w:rPr>
        <w:t xml:space="preserve">JSZC-320300-JSKJ-C2025-0066</w:t>
      </w:r>
      <w:r>
        <w:rPr>
          <w:rFonts w:hint="eastAsia" w:ascii="仿宋" w:hAnsi="仿宋" w:eastAsia="仿宋" w:cs="仿宋"/>
          <w:color w:val="auto"/>
          <w:sz w:val="24"/>
          <w:szCs w:val="24"/>
          <w:highlight w:val="none"/>
        </w:rPr>
        <w:t xml:space="preserve">）。</w:t>
      </w:r>
      <w:r/>
    </w:p>
    <w:p>
      <w:pPr>
        <w:pStyle w:val="1075"/>
        <w:jc w:val="left"/>
        <w:pageBreakBefore w:val="0"/>
        <w:spacing w:line="312" w:lineRule="auto"/>
        <w:widowControl w:val="off"/>
        <w:rPr>
          <w:rStyle w:val="1345"/>
          <w:rFonts w:hint="eastAsia" w:ascii="仿宋" w:hAnsi="仿宋" w:eastAsia="仿宋" w:cs="仿宋"/>
          <w:b/>
          <w:bCs/>
          <w:color w:val="auto"/>
          <w:sz w:val="24"/>
          <w:szCs w:val="24"/>
          <w:highlight w:val="none"/>
        </w:rPr>
      </w:pPr>
      <w:r>
        <w:rPr>
          <w:rStyle w:val="1345"/>
          <w:rFonts w:hint="eastAsia" w:ascii="仿宋" w:hAnsi="仿宋" w:eastAsia="仿宋" w:cs="仿宋"/>
          <w:b/>
          <w:bCs/>
          <w:color w:val="auto"/>
          <w:sz w:val="24"/>
          <w:szCs w:val="24"/>
          <w:highlight w:val="none"/>
        </w:rPr>
        <w:t xml:space="preserve">说明：</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1、本项目不接受联合体参与采购活动。</w:t>
      </w:r>
      <w:r/>
    </w:p>
    <w:p>
      <w:pPr>
        <w:pStyle w:val="1075"/>
        <w:ind w:firstLine="48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2、单位负责人为同一人或者存在直接控股、管理关系的不同供应商，不得参加同一合同项下的政府采购活动。</w:t>
      </w:r>
      <w:r/>
    </w:p>
    <w:p>
      <w:pPr>
        <w:pStyle w:val="1075"/>
        <w:ind w:firstLine="48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3、为本采购项目提供整体设计、规范编制或者项目管理、审查等服务的供应商，不得再参加本采购项目的采购活动。</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4、查询及使用供应商信用记录：</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⑴由采购人查询信用信息。</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⑵查询渠道包括：</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①“信用中国”网（www.creditchina.gov.cn）；</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②中国政府采购网（www.ccgp.gov.cn）；</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③“</w:t>
      </w:r>
      <w:r>
        <w:rPr>
          <w:rStyle w:val="1345"/>
          <w:rFonts w:hint="eastAsia" w:ascii="仿宋" w:hAnsi="仿宋" w:eastAsia="仿宋" w:cs="仿宋"/>
          <w:color w:val="auto"/>
          <w:sz w:val="24"/>
          <w:szCs w:val="24"/>
          <w:highlight w:val="none"/>
          <w:lang w:val="en-US" w:eastAsia="zh-CN"/>
        </w:rPr>
        <w:t xml:space="preserve">信用</w:t>
      </w:r>
      <w:r>
        <w:rPr>
          <w:rStyle w:val="1345"/>
          <w:rFonts w:hint="eastAsia" w:ascii="仿宋" w:hAnsi="仿宋" w:eastAsia="仿宋" w:cs="仿宋"/>
          <w:color w:val="auto"/>
          <w:sz w:val="24"/>
          <w:szCs w:val="24"/>
          <w:highlight w:val="none"/>
        </w:rPr>
        <w:t xml:space="preserve">江苏”网（http://www.jscredit.gov.cn/）；</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lang w:val="en-US" w:eastAsia="zh-CN"/>
        </w:rPr>
        <w:t xml:space="preserve">④“信用中国（江苏徐州）”网（ http://</w:t>
      </w:r>
      <w:r>
        <w:rPr>
          <w:rStyle w:val="1345"/>
          <w:rFonts w:hint="eastAsia" w:ascii="仿宋" w:hAnsi="仿宋" w:eastAsia="仿宋" w:cs="仿宋"/>
          <w:color w:val="auto"/>
          <w:sz w:val="24"/>
          <w:szCs w:val="24"/>
          <w:highlight w:val="none"/>
          <w:lang w:val="en-US" w:eastAsia="zh-CN"/>
        </w:rPr>
        <w:fldChar w:fldCharType="begin"/>
      </w:r>
      <w:r>
        <w:rPr>
          <w:rStyle w:val="1345"/>
          <w:rFonts w:hint="eastAsia" w:ascii="仿宋" w:hAnsi="仿宋" w:eastAsia="仿宋" w:cs="仿宋"/>
          <w:color w:val="auto"/>
          <w:sz w:val="24"/>
          <w:szCs w:val="24"/>
          <w:highlight w:val="none"/>
          <w:lang w:val="en-US" w:eastAsia="zh-CN"/>
        </w:rPr>
        <w:instrText xml:space="preserve"> HYPERLINK "http://www.xuzhoucredit.gov.cn）。" </w:instrText>
      </w:r>
      <w:r>
        <w:rPr>
          <w:rStyle w:val="1345"/>
          <w:rFonts w:hint="eastAsia" w:ascii="仿宋" w:hAnsi="仿宋" w:eastAsia="仿宋" w:cs="仿宋"/>
          <w:color w:val="auto"/>
          <w:sz w:val="24"/>
          <w:szCs w:val="24"/>
          <w:highlight w:val="none"/>
          <w:lang w:val="en-US" w:eastAsia="zh-CN"/>
        </w:rPr>
        <w:fldChar w:fldCharType="separate"/>
      </w:r>
      <w:r>
        <w:rPr>
          <w:rStyle w:val="1345"/>
          <w:rFonts w:hint="eastAsia" w:ascii="仿宋" w:hAnsi="仿宋" w:eastAsia="仿宋" w:cs="仿宋"/>
          <w:color w:val="auto"/>
          <w:sz w:val="24"/>
          <w:szCs w:val="24"/>
          <w:highlight w:val="none"/>
          <w:lang w:val="en-US" w:eastAsia="zh-CN"/>
        </w:rPr>
        <w:t xml:space="preserve">www.xuzhoucredit.gov.cn）。</w:t>
      </w:r>
      <w:r>
        <w:rPr>
          <w:rStyle w:val="1345"/>
          <w:rFonts w:hint="eastAsia" w:ascii="仿宋" w:hAnsi="仿宋" w:eastAsia="仿宋" w:cs="仿宋"/>
          <w:color w:val="auto"/>
          <w:sz w:val="24"/>
          <w:szCs w:val="24"/>
          <w:highlight w:val="none"/>
          <w:lang w:val="en-US" w:eastAsia="zh-CN"/>
        </w:rPr>
        <w:fldChar w:fldCharType="end"/>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⑶截止时点（查询环节）：首次响应文件开启后资格审查结束前。</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⑸信用信息的使用规则：</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75"/>
        <w:jc w:val="left"/>
        <w:pageBreakBefore w:val="0"/>
        <w:spacing w:line="312" w:lineRule="auto"/>
        <w:widowControl w:val="off"/>
        <w:rPr>
          <w:rStyle w:val="1345"/>
          <w:rFonts w:hint="eastAsia" w:ascii="仿宋" w:hAnsi="仿宋" w:eastAsia="仿宋" w:cs="仿宋"/>
          <w:b/>
          <w:bCs/>
          <w:color w:val="auto"/>
          <w:sz w:val="24"/>
          <w:szCs w:val="24"/>
          <w:highlight w:val="none"/>
        </w:rPr>
      </w:pPr>
      <w:r>
        <w:rPr>
          <w:rStyle w:val="1345"/>
          <w:rFonts w:hint="eastAsia" w:ascii="仿宋" w:hAnsi="仿宋" w:eastAsia="仿宋" w:cs="仿宋"/>
          <w:b/>
          <w:bCs/>
          <w:color w:val="auto"/>
          <w:sz w:val="24"/>
          <w:szCs w:val="24"/>
          <w:highlight w:val="none"/>
        </w:rPr>
        <w:t xml:space="preserve">八、报价要求</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1、供应商报价为要约，采购人无承诺表示时视为未成交，采购人认为必要时可重新进行竞争性磋商采购或采取其它方式采购。</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2、按照《磋商报价表》要求填写首次报价。</w:t>
      </w:r>
      <w:r/>
    </w:p>
    <w:p>
      <w:pPr>
        <w:pStyle w:val="107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bookmarkStart w:id="3" w:name="_Toc80122284"/>
      <w:r>
        <w:rPr>
          <w:rStyle w:val="1345"/>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供应商提交磋商保证金：不需交纳。</w:t>
      </w:r>
      <w:r/>
    </w:p>
    <w:p>
      <w:pPr>
        <w:pStyle w:val="1314"/>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pPr>
      <w:r/>
      <w:bookmarkStart w:id="4" w:name="_Toc18291"/>
      <w:r/>
      <w:bookmarkStart w:id="5" w:name="_Toc53"/>
      <w:r>
        <w:rPr>
          <w:rStyle w:val="1345"/>
          <w:rFonts w:hint="eastAsia" w:ascii="仿宋" w:hAnsi="仿宋" w:eastAsia="仿宋" w:cs="仿宋"/>
          <w:color w:val="auto"/>
          <w:sz w:val="24"/>
          <w:szCs w:val="24"/>
          <w:highlight w:val="none"/>
        </w:rPr>
        <w:t xml:space="preserve">第二章 响应文件要求</w:t>
      </w:r>
      <w:bookmarkEnd w:id="3"/>
      <w:r/>
      <w:bookmarkEnd w:id="4"/>
      <w:r/>
      <w:bookmarkEnd w:id="5"/>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十、获取竞争性磋商文件：详见本项目竞争性磋商公告。</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十一、提交响应文件要求</w:t>
      </w:r>
      <w:r/>
    </w:p>
    <w:p>
      <w:pPr>
        <w:jc w:val="center"/>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第一部分 基本要求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345"/>
          <w:rFonts w:hint="eastAsia" w:ascii="仿宋" w:hAnsi="仿宋" w:eastAsia="仿宋" w:cs="仿宋"/>
          <w:color w:val="auto"/>
          <w:sz w:val="24"/>
          <w:szCs w:val="24"/>
          <w:highlight w:val="none"/>
        </w:rPr>
        <w:t xml:space="preserve">取：</w:t>
      </w:r>
      <w:r>
        <w:rPr>
          <w:rFonts w:hint="eastAsia" w:ascii="仿宋" w:hAnsi="仿宋" w:eastAsia="仿宋" w:cs="仿宋"/>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345"/>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bCs/>
          <w:color w:val="auto"/>
          <w:sz w:val="24"/>
          <w:szCs w:val="24"/>
          <w:highlight w:val="none"/>
        </w:rPr>
        <w:t xml:space="preserve">）首次响应文件提交时间、地点：：</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Cs/>
          <w:color w:val="auto"/>
          <w:sz w:val="24"/>
          <w:szCs w:val="24"/>
          <w:highlight w:val="none"/>
        </w:rPr>
        <w:t xml:space="preserve">：</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月17</w:t>
      </w:r>
      <w:r>
        <w:rPr>
          <w:rFonts w:hint="eastAsia" w:ascii="仿宋" w:hAnsi="仿宋" w:eastAsia="仿宋" w:cs="仿宋"/>
          <w:b/>
          <w:color w:val="auto"/>
          <w:sz w:val="24"/>
          <w:szCs w:val="24"/>
          <w:highlight w:val="none"/>
        </w:rPr>
        <w:t xml:space="preserve">日</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：30（北京时间）</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color w:val="auto"/>
          <w:sz w:val="24"/>
          <w:szCs w:val="24"/>
          <w:highlight w:val="none"/>
        </w:rPr>
        <w:t xml:space="preserve">202</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年</w:t>
      </w:r>
      <w:r>
        <w:rPr>
          <w:rFonts w:hint="eastAsia" w:ascii="仿宋" w:hAnsi="仿宋" w:eastAsia="仿宋" w:cs="仿宋"/>
          <w:b/>
          <w:color w:val="auto"/>
          <w:sz w:val="24"/>
          <w:szCs w:val="24"/>
          <w:highlight w:val="none"/>
          <w:lang w:val="en-US" w:eastAsia="zh-CN"/>
        </w:rPr>
        <w:t xml:space="preserve">11</w:t>
      </w:r>
      <w:r>
        <w:rPr>
          <w:rFonts w:hint="eastAsia" w:ascii="仿宋" w:hAnsi="仿宋" w:eastAsia="仿宋" w:cs="仿宋"/>
          <w:b/>
          <w:color w:val="auto"/>
          <w:sz w:val="24"/>
          <w:szCs w:val="24"/>
          <w:highlight w:val="none"/>
        </w:rPr>
        <w:t xml:space="preserve">月17</w:t>
      </w:r>
      <w:r>
        <w:rPr>
          <w:rFonts w:hint="eastAsia" w:ascii="仿宋" w:hAnsi="仿宋" w:eastAsia="仿宋" w:cs="仿宋"/>
          <w:b/>
          <w:color w:val="auto"/>
          <w:sz w:val="24"/>
          <w:szCs w:val="24"/>
          <w:highlight w:val="none"/>
        </w:rPr>
        <w:t xml:space="preserve">日 </w:t>
      </w:r>
      <w:r>
        <w:rPr>
          <w:rFonts w:hint="eastAsia" w:ascii="仿宋" w:hAnsi="仿宋" w:eastAsia="仿宋" w:cs="仿宋"/>
          <w:b/>
          <w:color w:val="auto"/>
          <w:sz w:val="24"/>
          <w:szCs w:val="24"/>
          <w:highlight w:val="none"/>
          <w:lang w:val="en-US" w:eastAsia="zh-CN"/>
        </w:rPr>
        <w:t xml:space="preserve">09</w:t>
      </w:r>
      <w:r>
        <w:rPr>
          <w:rFonts w:hint="eastAsia" w:ascii="仿宋" w:hAnsi="仿宋" w:eastAsia="仿宋" w:cs="仿宋"/>
          <w:b/>
          <w:color w:val="auto"/>
          <w:sz w:val="24"/>
          <w:szCs w:val="24"/>
          <w:highlight w:val="none"/>
        </w:rPr>
        <w:t xml:space="preserve">：30</w:t>
      </w:r>
      <w:r>
        <w:rPr>
          <w:rFonts w:hint="eastAsia" w:ascii="仿宋" w:hAnsi="仿宋" w:eastAsia="仿宋" w:cs="仿宋"/>
          <w:b/>
          <w:bCs/>
          <w:color w:val="auto"/>
          <w:sz w:val="24"/>
          <w:szCs w:val="24"/>
          <w:highlight w:val="none"/>
        </w:rPr>
        <w:t xml:space="preserve">（北京时间）</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w:instrText>
      </w:r>
      <w:r>
        <w:rPr>
          <w:rFonts w:hint="eastAsia" w:ascii="仿宋" w:hAnsi="仿宋" w:eastAsia="仿宋" w:cs="仿宋"/>
          <w:color w:val="auto"/>
          <w:sz w:val="24"/>
          <w:szCs w:val="24"/>
          <w:highlight w:val="none"/>
        </w:rPr>
        <w:fldChar w:fldCharType="separate"/>
      </w:r>
      <w:r>
        <w:rPr>
          <w:rStyle w:val="1111"/>
          <w:rFonts w:hint="eastAsia" w:ascii="仿宋" w:hAnsi="仿宋" w:eastAsia="仿宋" w:cs="仿宋"/>
          <w:color w:val="auto"/>
          <w:sz w:val="24"/>
          <w:szCs w:val="24"/>
          <w:highlight w:val="none"/>
        </w:rPr>
        <w:t xml:space="preserve">http://jszfcg.jsczt.cn/</w:t>
      </w:r>
      <w:r>
        <w:rPr>
          <w:rStyle w:val="1111"/>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第二部分 响应文件组成</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十二、响应文件编制要求，请按照以下要求（包括但不限于以下要求）制作：</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（一）基本目录</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政府采购客户端工具输入报价自动生成）；</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2、供应商认为需要提供的其他资料的扫描件（如有）。</w:t>
      </w:r>
      <w:r/>
    </w:p>
    <w:p>
      <w:pPr>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（二）资格审查条件（1-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项必须提供，否则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Cs/>
          <w:color w:val="auto"/>
          <w:sz w:val="24"/>
          <w:szCs w:val="24"/>
          <w:highlight w:val="none"/>
        </w:rPr>
        <w:t xml:space="preserve">）</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1.具有独立承担民事责任的能力，提供供应商合法有效的营业执照</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（或事业单位法人证书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，或民办非企业单位登记证书</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财务状况报告（至少提供供应商的本项目开标时间前6个月内任何时间的资产负债表和利润表扫描件各一份；或提供供应商2024年度经审计的财务报告</w:t>
      </w:r>
      <w:r>
        <w:rPr>
          <w:rFonts w:hint="eastAsia" w:ascii="仿宋" w:hAnsi="仿宋" w:eastAsia="仿宋" w:cs="仿宋"/>
          <w:color w:val="auto"/>
          <w:sz w:val="24"/>
          <w:szCs w:val="24"/>
          <w:highlight w:val="none"/>
          <w:lang w:eastAsia="zh-CN"/>
        </w:rPr>
        <w:t xml:space="preserve">扫描件</w:t>
      </w:r>
      <w:r>
        <w:rPr>
          <w:rFonts w:hint="eastAsia" w:ascii="仿宋" w:hAnsi="仿宋" w:eastAsia="仿宋" w:cs="仿宋"/>
          <w:color w:val="auto"/>
          <w:sz w:val="24"/>
          <w:szCs w:val="24"/>
          <w:highlight w:val="none"/>
        </w:rPr>
        <w:t xml:space="preserve">一份；或提供供应商的本项目开标时间前6个月内银行出具的资信证明扫描件一份）；</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具</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履行合同所必需的设备和专业技术能力</w:t>
      </w:r>
      <w:r>
        <w:rPr>
          <w:rFonts w:hint="eastAsia" w:ascii="仿宋" w:hAnsi="仿宋" w:eastAsia="仿宋" w:cs="仿宋"/>
          <w:color w:val="auto"/>
          <w:sz w:val="24"/>
          <w:szCs w:val="24"/>
          <w:highlight w:val="none"/>
        </w:rPr>
        <w:t xml:space="preserve">的证明（响应文件中提供《具备履行合同所必需的设备和专业技术能力的书面声明（附证明材料扫描件）》，加盖电子签章，格式见采购文件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,所附证明材料扫描件可不加盖电子签章）；</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rPr>
        <w:t xml:space="preserve">供应商参加政府采购活动前3年内在经营活动中没有重大违</w:t>
      </w:r>
      <w:r>
        <w:rPr>
          <w:rFonts w:hint="eastAsia" w:ascii="仿宋" w:hAnsi="仿宋" w:eastAsia="仿宋" w:cs="仿宋"/>
          <w:color w:val="auto"/>
          <w:sz w:val="24"/>
          <w:szCs w:val="24"/>
          <w:highlight w:val="none"/>
        </w:rPr>
        <w:t xml:space="preserve">法记录的书面声明（加盖电子签章，格式见采购文件</w:t>
      </w:r>
      <w:r>
        <w:rPr>
          <w:rFonts w:hint="eastAsia" w:ascii="仿宋" w:hAnsi="仿宋" w:eastAsia="仿宋" w:cs="仿宋"/>
          <w:color w:val="auto"/>
          <w:sz w:val="24"/>
          <w:szCs w:val="24"/>
          <w:highlight w:val="none"/>
          <w:lang w:eastAsia="zh-CN"/>
        </w:rPr>
        <w:t xml:space="preserve">第九章《响应文件相关格式》</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12" w:lineRule="auto"/>
        <w:widowControl/>
        <w:rPr>
          <w:rFonts w:hint="eastAsia" w:ascii="仿宋" w:hAnsi="仿宋" w:eastAsia="仿宋" w:cs="仿宋"/>
          <w:color w:val="auto"/>
          <w:sz w:val="24"/>
          <w:szCs w:val="24"/>
          <w:highlight w:val="none"/>
        </w:rPr>
      </w:pPr>
      <w:r/>
      <w:bookmarkStart w:id="110" w:name="_GoBack"/>
      <w:r/>
      <w:bookmarkEnd w:id="110"/>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此项目属于专门面向中小微企业采购的项目，供</w:t>
      </w:r>
      <w:r>
        <w:rPr>
          <w:rFonts w:hint="eastAsia" w:ascii="仿宋" w:hAnsi="仿宋" w:eastAsia="仿宋" w:cs="仿宋"/>
          <w:color w:val="auto"/>
          <w:sz w:val="24"/>
          <w:szCs w:val="24"/>
          <w:highlight w:val="none"/>
          <w:lang w:val="en-US" w:eastAsia="zh-CN"/>
        </w:rPr>
        <w:t xml:space="preserve">应商应为中小微企业、监狱企业、残疾人福利性单位。</w:t>
      </w:r>
      <w:r/>
    </w:p>
    <w:p>
      <w:pPr>
        <w:keepLines w:val="0"/>
        <w:keepNext w:val="0"/>
        <w:pageBreakBefore w:val="0"/>
        <w:spacing w:line="312" w:lineRule="auto"/>
        <w:widowControl/>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为中小</w:t>
      </w:r>
      <w:r>
        <w:rPr>
          <w:rFonts w:hint="eastAsia" w:ascii="仿宋" w:hAnsi="仿宋" w:eastAsia="仿宋" w:cs="仿宋"/>
          <w:i w:val="0"/>
          <w:iCs w:val="0"/>
          <w:caps w:val="0"/>
          <w:color w:val="auto"/>
          <w:spacing w:val="0"/>
          <w:sz w:val="24"/>
          <w:szCs w:val="24"/>
          <w:highlight w:val="none"/>
        </w:rPr>
        <w:t xml:space="preserve">企业（含中型、小型、微型企业，下同）的，提供《中小企业声明函》（电子签章，填写完整。</w:t>
      </w:r>
      <w:r>
        <w:rPr>
          <w:rFonts w:hint="eastAsia" w:ascii="仿宋" w:hAnsi="仿宋" w:eastAsia="仿宋" w:cs="仿宋"/>
          <w:i w:val="0"/>
          <w:iCs w:val="0"/>
          <w:caps w:val="0"/>
          <w:color w:val="auto"/>
          <w:spacing w:val="0"/>
          <w:sz w:val="24"/>
          <w:szCs w:val="24"/>
          <w:highlight w:val="none"/>
          <w:lang w:eastAsia="zh-CN"/>
        </w:rPr>
        <w:t xml:space="preserve">格式见磋商文件《响应文件相关格式》</w:t>
      </w:r>
      <w:r>
        <w:rPr>
          <w:rFonts w:hint="eastAsia" w:ascii="仿宋" w:hAnsi="仿宋" w:eastAsia="仿宋" w:cs="仿宋"/>
          <w:i w:val="0"/>
          <w:iCs w:val="0"/>
          <w:caps w:val="0"/>
          <w:color w:val="auto"/>
          <w:spacing w:val="0"/>
          <w:sz w:val="24"/>
          <w:szCs w:val="24"/>
          <w:highlight w:val="none"/>
        </w:rPr>
        <w:t xml:space="preserve">）。《中小企业声明函》查询渠道用微信搜索“中小企业规模类型自测小程序”。</w:t>
      </w:r>
      <w:r/>
    </w:p>
    <w:p>
      <w:pPr>
        <w:pStyle w:val="1102"/>
        <w:ind w:left="0" w:right="0" w:firstLine="480"/>
        <w:jc w:val="both"/>
        <w:keepLines w:val="0"/>
        <w:keepNext w:val="0"/>
        <w:pageBreakBefore w:val="0"/>
        <w:spacing w:before="0" w:beforeAutospacing="0" w:after="0" w:afterAutospacing="0" w:line="312" w:lineRule="auto"/>
        <w:widowControl/>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highlight w:val="none"/>
        </w:rPr>
        <w:t xml:space="preserve">注：</w:t>
      </w:r>
      <w:r>
        <w:rPr>
          <w:rFonts w:hint="eastAsia" w:ascii="仿宋" w:hAnsi="仿宋" w:eastAsia="仿宋" w:cs="仿宋"/>
          <w:bCs/>
          <w:color w:val="auto"/>
          <w:sz w:val="24"/>
          <w:highlight w:val="none"/>
        </w:rPr>
        <w:t xml:space="preserve">中小</w:t>
      </w:r>
      <w:r>
        <w:rPr>
          <w:rFonts w:hint="eastAsia" w:ascii="仿宋" w:hAnsi="仿宋" w:eastAsia="仿宋" w:cs="仿宋"/>
          <w:bCs/>
          <w:color w:val="auto"/>
          <w:sz w:val="24"/>
          <w:highlight w:val="none"/>
          <w:lang w:val="en-US" w:eastAsia="zh-CN"/>
        </w:rPr>
        <w:t xml:space="preserve">微</w:t>
      </w:r>
      <w:r>
        <w:rPr>
          <w:rFonts w:hint="eastAsia" w:ascii="仿宋" w:hAnsi="仿宋" w:eastAsia="仿宋" w:cs="仿宋"/>
          <w:bCs/>
          <w:color w:val="auto"/>
          <w:sz w:val="24"/>
          <w:highlight w:val="none"/>
        </w:rPr>
        <w:t xml:space="preserve">企业</w:t>
      </w:r>
      <w:r>
        <w:rPr>
          <w:rFonts w:hint="eastAsia" w:ascii="仿宋" w:hAnsi="仿宋" w:eastAsia="仿宋" w:cs="仿宋"/>
          <w:color w:val="auto"/>
          <w:sz w:val="24"/>
          <w:highlight w:val="none"/>
        </w:rPr>
        <w:t xml:space="preserve">，应当符合以下条件：</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w:t>
      </w:r>
      <w:r>
        <w:rPr>
          <w:rFonts w:hint="eastAsia" w:ascii="仿宋" w:hAnsi="仿宋" w:eastAsia="仿宋" w:cs="仿宋"/>
          <w:bCs/>
          <w:color w:val="auto"/>
          <w:sz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w:t>
      </w:r>
      <w:r>
        <w:rPr>
          <w:rFonts w:hint="eastAsia" w:ascii="仿宋" w:hAnsi="仿宋" w:eastAsia="仿宋" w:cs="仿宋"/>
          <w:color w:val="auto"/>
          <w:sz w:val="24"/>
          <w:szCs w:val="24"/>
          <w:highlight w:val="none"/>
          <w:lang w:eastAsia="zh-CN"/>
        </w:rPr>
        <w:t xml:space="preserve">磋商文件第九章 《响应文件相关格式》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rPr>
        <w:t xml:space="preserve">项目不接受联合体参与采购活动。</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（三）符合性审查条件（必须提供，否则</w:t>
      </w:r>
      <w:r>
        <w:rPr>
          <w:rFonts w:hint="eastAsia" w:ascii="仿宋" w:hAnsi="仿宋" w:eastAsia="仿宋" w:cs="仿宋"/>
          <w:b/>
          <w:color w:val="auto"/>
          <w:sz w:val="24"/>
          <w:szCs w:val="24"/>
          <w:highlight w:val="none"/>
        </w:rPr>
        <w:t xml:space="preserve">响应无效</w:t>
      </w:r>
      <w:r>
        <w:rPr>
          <w:rFonts w:hint="eastAsia" w:ascii="仿宋" w:hAnsi="仿宋" w:eastAsia="仿宋" w:cs="仿宋"/>
          <w:b/>
          <w:bCs/>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1、《承诺书》（加盖电子签章，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left="479" w:firstLine="67"/>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3、《分项价格表》（必须提供，否则响应无效）（加盖电子签章，格式见磋商文件《响应文件相关格式》）；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、《授权委托书》（加盖电子签章，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6、《供应商相关承诺》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7、《供应商的书面声明》</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8、《项目总负责人简历表》</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9、《工作人员配备要求》</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10、《供应商对“工作人员配备要求”的承诺》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11、《供应商对“养护管理机械机具设备配置要求”的承诺》</w:t>
      </w:r>
      <w:r>
        <w:rPr>
          <w:rFonts w:hint="eastAsia" w:ascii="仿宋" w:hAnsi="仿宋" w:eastAsia="仿宋" w:cs="仿宋"/>
          <w:color w:val="auto"/>
          <w:sz w:val="24"/>
          <w:szCs w:val="24"/>
          <w:highlight w:val="none"/>
        </w:rPr>
        <w:t xml:space="preserve">（加盖电子签章，</w:t>
      </w:r>
      <w:r>
        <w:rPr>
          <w:rFonts w:hint="eastAsia" w:ascii="仿宋" w:hAnsi="仿宋" w:eastAsia="仿宋" w:cs="仿宋"/>
          <w:color w:val="auto"/>
          <w:sz w:val="24"/>
          <w:szCs w:val="24"/>
          <w:highlight w:val="none"/>
          <w:lang w:eastAsia="zh-CN"/>
        </w:rPr>
        <w:t xml:space="preserve">格式见磋商文件《响应文件相关格式》</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w:t>
      </w:r>
      <w:r/>
    </w:p>
    <w:p>
      <w:pPr>
        <w:ind w:firstLine="42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w:t>
      </w:r>
      <w:r/>
    </w:p>
    <w:p>
      <w:pPr>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（五）价格折扣文件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十三、提交的首次响应文件的密封、签署、盖章要求：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见《磋商文件》第九章附件中相关格式要求。</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见《磋商文件》第九章</w:t>
      </w:r>
      <w:r>
        <w:rPr>
          <w:rFonts w:hint="eastAsia" w:ascii="仿宋" w:hAnsi="仿宋" w:eastAsia="仿宋" w:cs="仿宋"/>
          <w:bCs/>
          <w:color w:val="auto"/>
          <w:sz w:val="24"/>
          <w:szCs w:val="24"/>
          <w:highlight w:val="none"/>
          <w:lang w:val="en-US" w:eastAsia="zh-CN"/>
        </w:rPr>
        <w:t xml:space="preserve">响应文件</w:t>
      </w:r>
      <w:r>
        <w:rPr>
          <w:rFonts w:hint="eastAsia" w:ascii="仿宋" w:hAnsi="仿宋" w:eastAsia="仿宋" w:cs="仿宋"/>
          <w:bCs/>
          <w:color w:val="auto"/>
          <w:sz w:val="24"/>
          <w:szCs w:val="24"/>
          <w:highlight w:val="none"/>
        </w:rPr>
        <w:t xml:space="preserve">相关格式要求。供应商须通过“苏采云”系统提供的政府采购客户端工具（使用“CA数字证书”）加盖电子签章。</w:t>
      </w:r>
      <w:r/>
    </w:p>
    <w:p>
      <w:pPr>
        <w:ind w:firstLine="482"/>
        <w:jc w:val="left"/>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12"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6" w:name="_Hlk105221193"/>
      <w:r>
        <w:rPr>
          <w:rFonts w:hint="eastAsia" w:ascii="仿宋" w:hAnsi="仿宋" w:eastAsia="仿宋" w:cs="仿宋"/>
          <w:bCs/>
          <w:color w:val="auto"/>
          <w:sz w:val="24"/>
          <w:szCs w:val="24"/>
          <w:highlight w:val="none"/>
        </w:rPr>
        <w:t xml:space="preserve">纸质版响应文件一正四副及电子响应文件（U盘</w:t>
      </w:r>
      <w:r>
        <w:rPr>
          <w:rFonts w:hint="eastAsia" w:ascii="仿宋" w:hAnsi="仿宋" w:eastAsia="仿宋" w:cs="仿宋"/>
          <w:bCs/>
          <w:color w:val="auto"/>
          <w:sz w:val="24"/>
          <w:szCs w:val="24"/>
          <w:highlight w:val="none"/>
          <w:lang w:val="en-US" w:eastAsia="zh-CN"/>
        </w:rPr>
        <w:t xml:space="preserve">1份</w:t>
      </w:r>
      <w:r>
        <w:rPr>
          <w:rFonts w:hint="eastAsia" w:ascii="仿宋" w:hAnsi="仿宋" w:eastAsia="仿宋" w:cs="仿宋"/>
          <w:bCs/>
          <w:color w:val="auto"/>
          <w:sz w:val="24"/>
          <w:szCs w:val="24"/>
          <w:highlight w:val="none"/>
        </w:rPr>
        <w:t xml:space="preserve">）</w:t>
      </w:r>
      <w:bookmarkEnd w:id="6"/>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1314"/>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pPr>
      <w:r/>
      <w:bookmarkStart w:id="7" w:name="_Toc80122285"/>
      <w:r/>
      <w:bookmarkStart w:id="8" w:name="_Toc11675"/>
      <w:r/>
      <w:bookmarkStart w:id="9" w:name="_Toc1039"/>
      <w:r>
        <w:rPr>
          <w:rStyle w:val="1345"/>
          <w:rFonts w:hint="eastAsia" w:ascii="仿宋" w:hAnsi="仿宋" w:eastAsia="仿宋" w:cs="仿宋"/>
          <w:color w:val="auto"/>
          <w:sz w:val="24"/>
          <w:szCs w:val="24"/>
          <w:highlight w:val="none"/>
        </w:rPr>
        <w:t xml:space="preserve">第三章 磋商相关说明</w:t>
      </w:r>
      <w:bookmarkEnd w:id="7"/>
      <w:r/>
      <w:bookmarkEnd w:id="8"/>
      <w:r/>
      <w:bookmarkEnd w:id="9"/>
      <w:r/>
      <w:r/>
    </w:p>
    <w:p>
      <w:pPr>
        <w:jc w:val="left"/>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十四、</w:t>
      </w:r>
      <w:r>
        <w:rPr>
          <w:rFonts w:hint="eastAsia" w:ascii="仿宋" w:hAnsi="仿宋" w:eastAsia="仿宋" w:cs="仿宋"/>
          <w:color w:val="auto"/>
          <w:sz w:val="24"/>
          <w:szCs w:val="24"/>
          <w:highlight w:val="none"/>
          <w:lang w:val="en-US" w:eastAsia="zh-CN"/>
        </w:rPr>
        <w:t xml:space="preserve">磋商程序</w:t>
      </w:r>
      <w:r/>
    </w:p>
    <w:p>
      <w:pPr>
        <w:ind w:firstLine="480"/>
        <w:jc w:val="left"/>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磋商要求</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color w:val="auto"/>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rPr>
        <w:t xml:space="preserve">未在规定时间内进行报价的，视为响应无效。</w:t>
      </w:r>
      <w:r/>
    </w:p>
    <w:p>
      <w:pPr>
        <w:ind w:firstLine="482"/>
        <w:jc w:val="left"/>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numPr>
          <w:ilvl w:val="0"/>
          <w:numId w:val="3"/>
        </w:num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被邀请参与磋商的供应商如未按上述磋商要求执行，</w:t>
      </w:r>
      <w:r>
        <w:rPr>
          <w:rFonts w:hint="eastAsia" w:ascii="仿宋" w:hAnsi="仿宋" w:eastAsia="仿宋" w:cs="仿宋"/>
          <w:b/>
          <w:bCs/>
          <w:color w:val="auto"/>
          <w:sz w:val="24"/>
          <w:szCs w:val="24"/>
          <w:highlight w:val="none"/>
        </w:rPr>
        <w:t xml:space="preserve">视同放弃磋商的权利</w:t>
      </w:r>
      <w:r>
        <w:rPr>
          <w:rFonts w:hint="eastAsia" w:ascii="仿宋" w:hAnsi="仿宋" w:eastAsia="仿宋" w:cs="仿宋"/>
          <w:color w:val="auto"/>
          <w:sz w:val="24"/>
          <w:szCs w:val="24"/>
          <w:highlight w:val="none"/>
        </w:rPr>
        <w:t xml:space="preserve">。</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Style w:val="1345"/>
          <w:rFonts w:hint="eastAsia" w:ascii="仿宋" w:hAnsi="仿宋" w:eastAsia="仿宋" w:cs="仿宋"/>
          <w:color w:val="auto"/>
          <w:sz w:val="24"/>
          <w:szCs w:val="24"/>
          <w:highlight w:val="none"/>
        </w:rPr>
        <w:t xml:space="preserve">查询及使用供应商信用记录：</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⑴由采购人查询信用信息。</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⑵查询渠道包括：</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①“信用中国”网（www.creditchina.gov.cn）；</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②中国政府采购网（www.ccgp.gov.cn）；</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③“</w:t>
      </w:r>
      <w:r>
        <w:rPr>
          <w:rStyle w:val="1345"/>
          <w:rFonts w:hint="eastAsia" w:ascii="仿宋" w:hAnsi="仿宋" w:eastAsia="仿宋" w:cs="仿宋"/>
          <w:color w:val="auto"/>
          <w:sz w:val="24"/>
          <w:szCs w:val="24"/>
          <w:highlight w:val="none"/>
          <w:lang w:val="en-US" w:eastAsia="zh-CN"/>
        </w:rPr>
        <w:t xml:space="preserve">信用</w:t>
      </w:r>
      <w:r>
        <w:rPr>
          <w:rStyle w:val="1345"/>
          <w:rFonts w:hint="eastAsia" w:ascii="仿宋" w:hAnsi="仿宋" w:eastAsia="仿宋" w:cs="仿宋"/>
          <w:color w:val="auto"/>
          <w:sz w:val="24"/>
          <w:szCs w:val="24"/>
          <w:highlight w:val="none"/>
        </w:rPr>
        <w:t xml:space="preserve">江苏”网（http://www.jscredit.gov.cn/）；</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lang w:val="en-US" w:eastAsia="zh-CN"/>
        </w:rPr>
        <w:t xml:space="preserve">④“信用中国（江苏徐州）”网（ http://</w:t>
      </w:r>
      <w:r>
        <w:rPr>
          <w:rStyle w:val="1345"/>
          <w:rFonts w:hint="eastAsia" w:ascii="仿宋" w:hAnsi="仿宋" w:eastAsia="仿宋" w:cs="仿宋"/>
          <w:color w:val="auto"/>
          <w:sz w:val="24"/>
          <w:szCs w:val="24"/>
          <w:highlight w:val="none"/>
          <w:lang w:val="en-US" w:eastAsia="zh-CN"/>
        </w:rPr>
        <w:fldChar w:fldCharType="begin"/>
      </w:r>
      <w:r>
        <w:rPr>
          <w:rStyle w:val="1345"/>
          <w:rFonts w:hint="eastAsia" w:ascii="仿宋" w:hAnsi="仿宋" w:eastAsia="仿宋" w:cs="仿宋"/>
          <w:color w:val="auto"/>
          <w:sz w:val="24"/>
          <w:szCs w:val="24"/>
          <w:highlight w:val="none"/>
          <w:lang w:val="en-US" w:eastAsia="zh-CN"/>
        </w:rPr>
        <w:instrText xml:space="preserve"> HYPERLINK "http://www.xuzhoucredit.gov.cn）。" </w:instrText>
      </w:r>
      <w:r>
        <w:rPr>
          <w:rStyle w:val="1345"/>
          <w:rFonts w:hint="eastAsia" w:ascii="仿宋" w:hAnsi="仿宋" w:eastAsia="仿宋" w:cs="仿宋"/>
          <w:color w:val="auto"/>
          <w:sz w:val="24"/>
          <w:szCs w:val="24"/>
          <w:highlight w:val="none"/>
          <w:lang w:val="en-US" w:eastAsia="zh-CN"/>
        </w:rPr>
        <w:fldChar w:fldCharType="separate"/>
      </w:r>
      <w:r>
        <w:rPr>
          <w:rStyle w:val="1345"/>
          <w:rFonts w:hint="eastAsia" w:ascii="仿宋" w:hAnsi="仿宋" w:eastAsia="仿宋" w:cs="仿宋"/>
          <w:color w:val="auto"/>
          <w:sz w:val="24"/>
          <w:szCs w:val="24"/>
          <w:highlight w:val="none"/>
          <w:lang w:val="en-US" w:eastAsia="zh-CN"/>
        </w:rPr>
        <w:t xml:space="preserve">www.xuzhoucredit.gov.cn）。</w:t>
      </w:r>
      <w:r>
        <w:rPr>
          <w:rStyle w:val="1345"/>
          <w:rFonts w:hint="eastAsia" w:ascii="仿宋" w:hAnsi="仿宋" w:eastAsia="仿宋" w:cs="仿宋"/>
          <w:color w:val="auto"/>
          <w:sz w:val="24"/>
          <w:szCs w:val="24"/>
          <w:highlight w:val="none"/>
          <w:lang w:val="en-US" w:eastAsia="zh-CN"/>
        </w:rPr>
        <w:fldChar w:fldCharType="end"/>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⑶截止时点（查询环节）：首次响应文件开启后资格审查结束前。</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⑷信用信息查询记录和证据留存的具体方式：网页截屏打印，与其他采购文件一并保存。</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⑸信用信息的使用规则：</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十五、评审方法和评审标准</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十六、评审程序</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1、磋商评审小组的组建：采购人组建。</w:t>
      </w:r>
      <w:r>
        <w:rPr>
          <w:rFonts w:hint="eastAsia" w:ascii="仿宋" w:hAnsi="仿宋" w:eastAsia="仿宋" w:cs="仿宋"/>
          <w:color w:val="auto"/>
          <w:sz w:val="24"/>
          <w:szCs w:val="24"/>
          <w:highlight w:val="none"/>
        </w:rPr>
        <w:t xml:space="preserve">磋商小组成员构成：3 人。磋商小组确定方式：从《江苏省政府采购专家库》随机抽取。 </w:t>
      </w:r>
      <w:r>
        <w:rPr>
          <w:rFonts w:hint="eastAsia" w:ascii="仿宋" w:hAnsi="仿宋" w:eastAsia="仿宋" w:cs="仿宋"/>
          <w:color w:val="auto"/>
          <w:sz w:val="24"/>
          <w:szCs w:val="24"/>
          <w:highlight w:val="none"/>
        </w:rPr>
        <w:t xml:space="preserve">   </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本项目资格审查由磋商小组负责。</w:t>
      </w:r>
      <w:r>
        <w:rPr>
          <w:rFonts w:hint="eastAsia" w:ascii="仿宋" w:hAnsi="仿宋" w:eastAsia="仿宋" w:cs="仿宋"/>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1074"/>
        <w:ind w:firstLine="482"/>
        <w:keepLines w:val="0"/>
        <w:keepNext w:val="0"/>
        <w:pageBreakBefore w:val="0"/>
        <w:spacing w:line="264" w:lineRule="auto"/>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实施政府采购异常低价审查的有关要求：</w:t>
      </w:r>
      <w:r>
        <w:rPr>
          <w:rFonts w:hint="eastAsia" w:ascii="仿宋" w:hAnsi="仿宋" w:eastAsia="仿宋" w:cs="宋体"/>
          <w:color w:val="auto"/>
          <w:sz w:val="24"/>
          <w:highlight w:val="none"/>
          <w:lang w:val="en-US" w:eastAsia="zh-CN"/>
        </w:rPr>
        <w:t xml:space="preserve">磋商小组启动异常低价投标（响应）审查的情形和具体要求，包括:</w:t>
      </w:r>
      <w:r/>
    </w:p>
    <w:p>
      <w:pPr>
        <w:pStyle w:val="1074"/>
        <w:ind w:firstLine="482"/>
        <w:keepLines w:val="0"/>
        <w:keepNext w:val="0"/>
        <w:pageBreakBefore w:val="0"/>
        <w:spacing w:line="264" w:lineRule="auto"/>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（1）评审过程中出现下列情形之一的，磋商小组应当启动异常低价投标（响应）审查程序：</w:t>
      </w:r>
      <w:r/>
    </w:p>
    <w:p>
      <w:pPr>
        <w:pStyle w:val="1074"/>
        <w:ind w:firstLine="482"/>
        <w:keepLines w:val="0"/>
        <w:keepNext w:val="0"/>
        <w:pageBreakBefore w:val="0"/>
        <w:spacing w:line="264" w:lineRule="auto"/>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①投标（响应）报价低于采购项目预算50%的，即投标（响应）报价&lt;采购项目预算×50%；</w:t>
      </w:r>
      <w:r/>
    </w:p>
    <w:p>
      <w:pPr>
        <w:pStyle w:val="1074"/>
        <w:ind w:firstLine="482"/>
        <w:keepLines w:val="0"/>
        <w:keepNext w:val="0"/>
        <w:pageBreakBefore w:val="0"/>
        <w:spacing w:line="264" w:lineRule="auto"/>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②投标（响应）报价低于采购项目最高限价45%的，即投标（响应）报价&lt;采购项目最高限价×45%；</w:t>
      </w:r>
      <w:r/>
    </w:p>
    <w:p>
      <w:pPr>
        <w:pStyle w:val="1074"/>
        <w:ind w:firstLine="482"/>
        <w:keepLines w:val="0"/>
        <w:keepNext w:val="0"/>
        <w:pageBreakBefore w:val="0"/>
        <w:spacing w:line="264" w:lineRule="auto"/>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③磋商小组认定的供应商报价过低、有可能影响产品质量或者不能诚信履约的其他情形。</w:t>
      </w:r>
      <w:r/>
    </w:p>
    <w:p>
      <w:pPr>
        <w:pStyle w:val="1074"/>
        <w:ind w:firstLine="482"/>
        <w:keepLines w:val="0"/>
        <w:keepNext w:val="0"/>
        <w:pageBreakBefore w:val="0"/>
        <w:spacing w:line="288" w:lineRule="auto"/>
        <w:widowControl/>
        <w:rPr>
          <w:rFonts w:hint="eastAsia" w:ascii="仿宋" w:hAnsi="仿宋" w:eastAsia="仿宋" w:cs="仿宋"/>
          <w:color w:val="auto"/>
          <w:sz w:val="24"/>
          <w:szCs w:val="24"/>
          <w:highlight w:val="none"/>
        </w:rPr>
      </w:pPr>
      <w:r>
        <w:rPr>
          <w:rFonts w:hint="eastAsia" w:ascii="仿宋" w:hAnsi="仿宋" w:eastAsia="仿宋" w:cs="宋体"/>
          <w:color w:val="auto"/>
          <w:sz w:val="24"/>
          <w:highlight w:val="none"/>
          <w:lang w:val="en-US" w:eastAsia="zh-CN"/>
        </w:rPr>
        <w:t xml:space="preserve">（2）启动异常低价投标（</w:t>
      </w:r>
      <w:r>
        <w:rPr>
          <w:rFonts w:hint="eastAsia" w:ascii="仿宋" w:hAnsi="仿宋" w:eastAsia="仿宋" w:cs="宋体"/>
          <w:color w:val="auto"/>
          <w:sz w:val="24"/>
          <w:highlight w:val="none"/>
          <w:lang w:val="en-US" w:eastAsia="zh-CN"/>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482"/>
        <w:jc w:val="left"/>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十七、有下列情形之一的，其响应无效：</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未在规定时间内解密电子响应文件的；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en-US" w:eastAsia="zh-CN"/>
        </w:rPr>
        <w:t xml:space="preserve">与采购文件提供的清单中项目名称、项目特征、计量单位、工程量不一致的；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响应文件内容不全或不符合磋商文件中规定的其它实质性要求的；</w:t>
      </w:r>
      <w:r/>
    </w:p>
    <w:p>
      <w:pPr>
        <w:ind w:firstLine="48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21、报价清单与采购文件明确列出的不可竞争费用项目或费率或计算基础不一致的；</w:t>
      </w:r>
      <w:r/>
    </w:p>
    <w:p>
      <w:pPr>
        <w:ind w:firstLine="48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22、报价清单与采购文件规定的暂估价、暂列金额不一致的；</w:t>
      </w:r>
      <w:r/>
    </w:p>
    <w:p>
      <w:pPr>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、法律法规和磋商文件规定的其它无效情形。</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0" w:name="_Toc2323"/>
      <w:r/>
      <w:bookmarkStart w:id="11" w:name="_Toc31496"/>
      <w:r/>
      <w:bookmarkStart w:id="12" w:name="_Toc80122286"/>
      <w:r>
        <w:rPr>
          <w:rFonts w:hint="eastAsia" w:ascii="仿宋" w:hAnsi="仿宋" w:eastAsia="仿宋" w:cs="仿宋"/>
          <w:b/>
          <w:bCs/>
          <w:color w:val="auto"/>
          <w:sz w:val="24"/>
          <w:szCs w:val="24"/>
          <w:highlight w:val="none"/>
        </w:rPr>
        <w:t xml:space="preserve">第四章 确定成交供应商及合同签订等</w:t>
      </w:r>
      <w:bookmarkEnd w:id="10"/>
      <w:r/>
      <w:bookmarkEnd w:id="11"/>
      <w:r/>
      <w:bookmarkEnd w:id="12"/>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公告同一发布媒体上公告成交结果，公告标的的基本概况为成交供应商的《磋商报价表》（最后报价）。</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345"/>
          <w:rFonts w:hint="eastAsia" w:ascii="仿宋" w:hAnsi="仿宋" w:eastAsia="仿宋" w:cs="仿宋"/>
          <w:color w:val="auto"/>
          <w:sz w:val="24"/>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jc w:val="center"/>
        <w:keepLines w:val="0"/>
        <w:keepNext w:val="0"/>
        <w:pageBreakBefore w:val="0"/>
        <w:spacing w:line="288" w:lineRule="auto"/>
        <w:widowControl w:val="off"/>
        <w:rPr>
          <w:rFonts w:hint="eastAsia" w:ascii="仿宋" w:hAnsi="仿宋" w:eastAsia="仿宋" w:cs="仿宋"/>
          <w:b/>
          <w:bCs/>
          <w:color w:val="auto"/>
          <w:sz w:val="24"/>
          <w:szCs w:val="24"/>
          <w:highlight w:val="none"/>
        </w:rPr>
        <w:outlineLvl w:val="0"/>
      </w:pPr>
      <w:r/>
      <w:bookmarkStart w:id="13" w:name="_Toc80122287"/>
      <w:r/>
      <w:bookmarkStart w:id="14" w:name="_Toc24041"/>
      <w:r/>
      <w:bookmarkStart w:id="15" w:name="_Toc15896"/>
      <w:r>
        <w:rPr>
          <w:rFonts w:hint="eastAsia" w:ascii="仿宋" w:hAnsi="仿宋" w:eastAsia="仿宋" w:cs="仿宋"/>
          <w:b/>
          <w:bCs/>
          <w:color w:val="auto"/>
          <w:sz w:val="24"/>
          <w:szCs w:val="24"/>
          <w:highlight w:val="none"/>
        </w:rPr>
        <w:t xml:space="preserve">第五章 磋商文件的澄清或者修改</w:t>
      </w:r>
      <w:bookmarkEnd w:id="13"/>
      <w:r/>
      <w:bookmarkEnd w:id="14"/>
      <w:r/>
      <w:bookmarkEnd w:id="15"/>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keepLines w:val="0"/>
        <w:keepNext w:val="0"/>
        <w:pageBreakBefore w:val="0"/>
        <w:spacing w:line="288"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pageBreakBefore w:val="0"/>
        <w:spacing w:line="312" w:lineRule="auto"/>
        <w:widowControl w:val="off"/>
        <w:rPr>
          <w:rFonts w:hint="eastAsia" w:ascii="仿宋" w:hAnsi="仿宋" w:eastAsia="仿宋" w:cs="仿宋"/>
          <w:b/>
          <w:bCs/>
          <w:color w:val="auto"/>
          <w:sz w:val="24"/>
          <w:szCs w:val="24"/>
          <w:highlight w:val="none"/>
        </w:rPr>
        <w:outlineLvl w:val="0"/>
      </w:pPr>
      <w:r/>
      <w:bookmarkStart w:id="16" w:name="_Toc11856"/>
      <w:r/>
      <w:bookmarkStart w:id="17" w:name="_Toc80122288"/>
      <w:r/>
      <w:bookmarkStart w:id="18" w:name="_Toc13941"/>
      <w:r>
        <w:rPr>
          <w:rFonts w:hint="eastAsia" w:ascii="仿宋" w:hAnsi="仿宋" w:eastAsia="仿宋" w:cs="仿宋"/>
          <w:b/>
          <w:bCs/>
          <w:color w:val="auto"/>
          <w:sz w:val="24"/>
          <w:szCs w:val="24"/>
          <w:highlight w:val="none"/>
        </w:rPr>
        <w:t xml:space="preserve">第六章 询问和质疑</w:t>
      </w:r>
      <w:bookmarkEnd w:id="16"/>
      <w:r/>
      <w:bookmarkEnd w:id="17"/>
      <w:r/>
      <w:bookmarkEnd w:id="18"/>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2、质疑和投诉按《政府采购质疑和投诉办法》执行。供应商对同一采购程序环节的质疑应在质疑期内一次性提出。</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夏菲</w:t>
      </w:r>
      <w:r>
        <w:rPr>
          <w:rFonts w:hint="eastAsia" w:ascii="仿宋" w:hAnsi="仿宋" w:eastAsia="仿宋" w:cs="仿宋"/>
          <w:color w:val="auto"/>
          <w:sz w:val="24"/>
          <w:szCs w:val="24"/>
          <w:highlight w:val="none"/>
        </w:rPr>
        <w:t xml:space="preserve">     联系电话：0516-85610680</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接收地址：徐州市泉山区软件园路2号</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二十五、成交供应商领取成交通知书</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，向江苏科建工程项目管理有限公司一次性支付招标代理服务费，收费标准见《徐州市政府采购业务代理服务费行业指导价格标准》。同时提供纸质版响应文件一正四副及电子响应文件（U盘）</w:t>
      </w:r>
      <w:r>
        <w:rPr>
          <w:rFonts w:hint="eastAsia" w:ascii="仿宋" w:hAnsi="仿宋" w:eastAsia="仿宋" w:cs="仿宋"/>
          <w:color w:val="auto"/>
          <w:sz w:val="24"/>
          <w:szCs w:val="24"/>
          <w:highlight w:val="none"/>
          <w:lang w:val="en-US" w:eastAsia="zh-CN"/>
        </w:rPr>
        <w:t xml:space="preserve">1份</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1075"/>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二十七、联系方式</w:t>
      </w:r>
      <w:r/>
    </w:p>
    <w:p>
      <w:pPr>
        <w:pStyle w:val="1075"/>
        <w:ind w:firstLine="48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、采购人</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名称：徐州市住房和城乡建设局</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地址：徐州市云龙区镜泊西路6号建设大厦</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联系人：</w:t>
      </w:r>
      <w:r>
        <w:rPr>
          <w:rFonts w:hint="eastAsia" w:ascii="仿宋" w:hAnsi="仿宋" w:eastAsia="仿宋" w:cs="仿宋"/>
          <w:color w:val="auto"/>
          <w:sz w:val="24"/>
          <w:szCs w:val="24"/>
          <w:highlight w:val="none"/>
          <w:lang w:val="en-US" w:eastAsia="zh-CN"/>
        </w:rPr>
        <w:t xml:space="preserve">佟孟颖</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联系电话：0516-80802681</w:t>
      </w:r>
      <w:r/>
    </w:p>
    <w:p>
      <w:pPr>
        <w:pStyle w:val="1075"/>
        <w:numPr>
          <w:ilvl w:val="0"/>
          <w:numId w:val="0"/>
        </w:numPr>
        <w:ind w:firstLine="480"/>
        <w:jc w:val="left"/>
        <w:keepLines w:val="0"/>
        <w:keepNext w:val="0"/>
        <w:pageBreakBefore w:val="0"/>
        <w:spacing w:line="288"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2、</w:t>
      </w:r>
      <w:r>
        <w:rPr>
          <w:rFonts w:hint="eastAsia" w:ascii="仿宋" w:hAnsi="仿宋" w:eastAsia="仿宋" w:cs="仿宋"/>
          <w:bCs/>
          <w:color w:val="auto"/>
          <w:sz w:val="24"/>
          <w:szCs w:val="24"/>
          <w:highlight w:val="none"/>
        </w:rPr>
        <w:t xml:space="preserve">采购代理机构</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名称：江苏科建工程项目管理有限公司</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地址：徐州市泉山区软件园路2号</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采购代理联系人：</w:t>
      </w:r>
      <w:r>
        <w:rPr>
          <w:rFonts w:hint="eastAsia" w:ascii="仿宋" w:hAnsi="仿宋" w:eastAsia="仿宋" w:cs="仿宋"/>
          <w:color w:val="auto"/>
          <w:sz w:val="24"/>
          <w:szCs w:val="24"/>
          <w:highlight w:val="none"/>
          <w:lang w:eastAsia="zh-CN"/>
        </w:rPr>
        <w:t xml:space="preserve">夏菲</w:t>
      </w:r>
      <w:r/>
    </w:p>
    <w:p>
      <w:pPr>
        <w:pStyle w:val="1075"/>
        <w:ind w:firstLine="960"/>
        <w:jc w:val="left"/>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电话：0516-85610680</w:t>
      </w:r>
      <w:r/>
    </w:p>
    <w:p>
      <w:pPr>
        <w:pStyle w:val="1314"/>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br w:type="page" w:clear="all"/>
      </w:r>
      <w:bookmarkStart w:id="19" w:name="_Toc80122289"/>
      <w:r/>
      <w:bookmarkStart w:id="20" w:name="_Toc16162"/>
      <w:r/>
      <w:bookmarkStart w:id="21" w:name="_Toc24472"/>
      <w:r>
        <w:rPr>
          <w:rStyle w:val="1345"/>
          <w:rFonts w:hint="eastAsia" w:ascii="仿宋" w:hAnsi="仿宋" w:eastAsia="仿宋" w:cs="仿宋"/>
          <w:color w:val="auto"/>
          <w:sz w:val="24"/>
          <w:szCs w:val="24"/>
          <w:highlight w:val="none"/>
        </w:rPr>
        <w:t xml:space="preserve">第七章 评分细则</w:t>
      </w:r>
      <w:bookmarkEnd w:id="19"/>
      <w:r/>
      <w:bookmarkEnd w:id="20"/>
      <w:r>
        <w:rPr>
          <w:rStyle w:val="1345"/>
          <w:rFonts w:hint="eastAsia" w:ascii="仿宋" w:hAnsi="仿宋" w:eastAsia="仿宋" w:cs="仿宋"/>
          <w:color w:val="auto"/>
          <w:sz w:val="24"/>
          <w:szCs w:val="24"/>
          <w:highlight w:val="none"/>
        </w:rPr>
        <w:t xml:space="preserve">（综合评分法）</w:t>
      </w:r>
      <w:bookmarkEnd w:id="21"/>
      <w:r/>
      <w:r/>
    </w:p>
    <w:tbl>
      <w:tblPr>
        <w:tblStyle w:val="1057"/>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286"/>
        <w:gridCol w:w="6736"/>
      </w:tblGrid>
      <w:tr>
        <w:trPr>
          <w:jc w:val="center"/>
          <w:trHeight w:val="764"/>
        </w:trPr>
        <w:tc>
          <w:tcPr>
            <w:tcW w:w="1297"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1"/>
                <w:szCs w:val="21"/>
                <w:highlight w:val="none"/>
              </w:rPr>
            </w:pPr>
            <w:r/>
            <w:bookmarkStart w:id="22" w:name="_Toc80122290"/>
            <w:r>
              <w:rPr>
                <w:rFonts w:hint="eastAsia" w:ascii="仿宋" w:hAnsi="仿宋" w:eastAsia="仿宋" w:cs="仿宋"/>
                <w:color w:val="auto"/>
                <w:sz w:val="21"/>
                <w:szCs w:val="21"/>
                <w:highlight w:val="none"/>
              </w:rPr>
              <w:t xml:space="preserve">项目</w:t>
            </w:r>
            <w:r/>
          </w:p>
        </w:tc>
        <w:tc>
          <w:tcPr>
            <w:tcW w:w="1347"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细化项目及分值</w:t>
            </w:r>
            <w:r/>
          </w:p>
        </w:tc>
        <w:tc>
          <w:tcPr>
            <w:tcW w:w="7291"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评分依据</w:t>
            </w:r>
            <w:r/>
          </w:p>
        </w:tc>
      </w:tr>
      <w:tr>
        <w:trPr>
          <w:jc w:val="center"/>
          <w:trHeight w:val="560"/>
        </w:trPr>
        <w:tc>
          <w:tcPr>
            <w:tcW w:w="1297" w:type="dxa"/>
            <w:vAlign w:val="center"/>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价格部分</w:t>
            </w:r>
            <w:r/>
          </w:p>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（15分）</w:t>
            </w:r>
            <w:r/>
          </w:p>
        </w:tc>
        <w:tc>
          <w:tcPr>
            <w:gridSpan w:val="2"/>
            <w:tcW w:w="8638" w:type="dxa"/>
            <w:vAlign w:val="center"/>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采用低价优先法计算，即满足</w:t>
            </w:r>
            <w:r>
              <w:rPr>
                <w:rFonts w:hint="eastAsia" w:ascii="仿宋" w:hAnsi="仿宋" w:eastAsia="仿宋" w:cs="仿宋"/>
                <w:color w:val="auto"/>
                <w:sz w:val="21"/>
                <w:szCs w:val="21"/>
                <w:highlight w:val="none"/>
                <w:lang w:val="en-US" w:eastAsia="zh-CN"/>
              </w:rPr>
              <w:t xml:space="preserve">磋商文件</w:t>
            </w:r>
            <w:r>
              <w:rPr>
                <w:rFonts w:hint="eastAsia" w:ascii="仿宋" w:hAnsi="仿宋" w:eastAsia="仿宋" w:cs="仿宋"/>
                <w:color w:val="auto"/>
                <w:sz w:val="21"/>
                <w:szCs w:val="21"/>
                <w:highlight w:val="none"/>
              </w:rPr>
              <w:t xml:space="preserve">要求且</w:t>
            </w: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报价最低的</w:t>
            </w:r>
            <w:r>
              <w:rPr>
                <w:rFonts w:hint="eastAsia" w:ascii="仿宋" w:hAnsi="仿宋" w:eastAsia="仿宋" w:cs="仿宋"/>
                <w:color w:val="auto"/>
                <w:sz w:val="21"/>
                <w:szCs w:val="21"/>
                <w:highlight w:val="none"/>
                <w:lang w:val="en-US" w:eastAsia="zh-CN"/>
              </w:rPr>
              <w:t xml:space="preserve">供应商</w:t>
            </w:r>
            <w:r>
              <w:rPr>
                <w:rFonts w:hint="eastAsia" w:ascii="仿宋" w:hAnsi="仿宋" w:eastAsia="仿宋" w:cs="仿宋"/>
                <w:color w:val="auto"/>
                <w:sz w:val="21"/>
                <w:szCs w:val="21"/>
                <w:highlight w:val="none"/>
              </w:rPr>
              <w:t xml:space="preserve">的价格为评标基准价，其价格分为满分。其他</w:t>
            </w:r>
            <w:r>
              <w:rPr>
                <w:rFonts w:hint="eastAsia" w:ascii="仿宋" w:hAnsi="仿宋" w:eastAsia="仿宋" w:cs="仿宋"/>
                <w:color w:val="auto"/>
                <w:sz w:val="21"/>
                <w:szCs w:val="21"/>
                <w:highlight w:val="none"/>
                <w:lang w:val="en-US" w:eastAsia="zh-CN"/>
              </w:rPr>
              <w:t xml:space="preserve">供应商</w:t>
            </w:r>
            <w:r>
              <w:rPr>
                <w:rFonts w:hint="eastAsia" w:ascii="仿宋" w:hAnsi="仿宋" w:eastAsia="仿宋" w:cs="仿宋"/>
                <w:color w:val="auto"/>
                <w:sz w:val="21"/>
                <w:szCs w:val="21"/>
                <w:highlight w:val="none"/>
              </w:rPr>
              <w:t xml:space="preserve">的价格分统一按照下列公式计算：</w:t>
            </w:r>
            <w:r/>
          </w:p>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报价得分=（评标基准价/</w:t>
            </w: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报价）×15</w:t>
            </w:r>
            <w:r/>
          </w:p>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（按四舍五入取至小数点后两位）。</w:t>
            </w:r>
            <w:r/>
          </w:p>
        </w:tc>
      </w:tr>
      <w:tr>
        <w:trPr>
          <w:jc w:val="center"/>
          <w:trHeight w:val="560"/>
        </w:trPr>
        <w:tc>
          <w:tcPr>
            <w:tcW w:w="1297" w:type="dxa"/>
            <w:vAlign w:val="center"/>
            <w:vMerge w:val="restart"/>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商务部分（7分）</w:t>
            </w:r>
            <w:r/>
          </w:p>
        </w:tc>
        <w:tc>
          <w:tcPr>
            <w:tcBorders>
              <w:right w:val="single" w:color="auto" w:sz="4" w:space="0"/>
            </w:tcBorders>
            <w:tcW w:w="1347" w:type="dxa"/>
            <w:vAlign w:val="center"/>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企业认证</w:t>
            </w:r>
            <w:r/>
          </w:p>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（3分）</w:t>
            </w:r>
            <w:r/>
          </w:p>
        </w:tc>
        <w:tc>
          <w:tcPr>
            <w:tcBorders>
              <w:left w:val="single" w:color="auto" w:sz="4" w:space="0"/>
            </w:tcBorders>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供应商具有有效的质量管理体系认证证书、环境管理体系认证证书、职业健康安全管理体系认证证书，每具有一项得1分，最高得3分。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注：响应文件中提供相关材料文件扫描件。</w:t>
            </w:r>
            <w:r/>
          </w:p>
        </w:tc>
      </w:tr>
      <w:tr>
        <w:trPr>
          <w:jc w:val="center"/>
          <w:trHeight w:val="560"/>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right w:val="single" w:color="auto" w:sz="4" w:space="0"/>
            </w:tcBorders>
            <w:tcW w:w="1347" w:type="dxa"/>
            <w:vAlign w:val="center"/>
            <w:textDirection w:val="lrTb"/>
            <w:noWrap w:val="false"/>
          </w:tcPr>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项目总负责人业绩</w:t>
            </w:r>
            <w:r/>
          </w:p>
          <w:p>
            <w:pPr>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（4分）</w:t>
            </w:r>
            <w:r/>
          </w:p>
        </w:tc>
        <w:tc>
          <w:tcPr>
            <w:shd w:val="clear" w:color="auto" w:fill="auto"/>
            <w:tcBorders>
              <w:left w:val="single" w:color="auto" w:sz="4" w:space="0"/>
            </w:tcBorders>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供应商提供的拟派项目总负责人（项目经理）的业绩合同服务周期应在2022年1月1日（含）之后，</w:t>
            </w:r>
            <w:r>
              <w:rPr>
                <w:rFonts w:hint="eastAsia" w:ascii="仿宋" w:hAnsi="仿宋" w:eastAsia="仿宋" w:cs="仿宋"/>
                <w:color w:val="auto"/>
                <w:sz w:val="21"/>
                <w:szCs w:val="21"/>
                <w:highlight w:val="none"/>
                <w:lang w:val="en-US" w:eastAsia="zh-CN" w:bidi="ar-SA"/>
              </w:rPr>
              <w:t xml:space="preserve">业绩类型应为城市公共绿地（化）养护管理项目。合同连续服务期须满一周年的得4分，否则不得分，本项目最高得4分。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拟派项目总负责人（项目经理）业绩由项目合同甲方（如甲方为行政单位，可由其委托所属负责合同履约的监管单位或其项目代表单位）出具合同履约情况证明及相关信息，并加盖单位公章方为有效，否则该项业绩不得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2.供应商须提供合同扫描件及相关证明材料，扫描件及相关证明材料应能体现并标注出项目总负责人（项目经理）、服务内容、服务周期、起止时间等相关信息。</w:t>
            </w:r>
            <w:r/>
          </w:p>
        </w:tc>
      </w:tr>
      <w:tr>
        <w:trPr>
          <w:jc w:val="center"/>
          <w:trHeight w:val="708"/>
        </w:trPr>
        <w:tc>
          <w:tcPr>
            <w:tcW w:w="1297" w:type="dxa"/>
            <w:vAlign w:val="center"/>
            <w:vMerge w:val="restart"/>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技术部分</w:t>
            </w:r>
            <w:r/>
          </w:p>
          <w:p>
            <w:pPr>
              <w:pStyle w:val="1075"/>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（78分）</w:t>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养护管理总体组织实施方案</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（15分）</w:t>
            </w:r>
            <w:r/>
          </w:p>
        </w:tc>
        <w:tc>
          <w:tcPr>
            <w:tcW w:w="7291" w:type="dxa"/>
            <w:vAlign w:val="center"/>
            <w:textDirection w:val="lrTb"/>
            <w:noWrap w:val="false"/>
          </w:tcPr>
          <w:p>
            <w:pPr>
              <w:jc w:val="both"/>
              <w:keepLines w:val="0"/>
              <w:keepNext w:val="0"/>
              <w:pageBreakBefore w:val="0"/>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市管绿地特点和地域重要性，针对所投项目绿地构成形式及苗木特性，供应商提供养护管理具体实施方案，包含各类苗木修剪、病虫害防治、水肥管理、抗旱防涝、景观提升改造、防寒保暖、切边等具体实施方案。</w:t>
            </w:r>
            <w:r/>
          </w:p>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（1）目标性（3分）方案目标性明确完整、符合实际、切实可行且无缺陷的得3分；目标性较明确存在缺陷的得2分；目标性一般的得1分；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（2）全面性（4分）方案内容全面完整、符合实际、切实可行且无缺陷的得4分；内容较全面存在缺陷的得3分；内容一般的得1分；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（3）针对性（4分）方案针对性强、完整、符合实际、切实可行且无缺陷的得4分；针对性较强存在缺陷的得3分；针对性一般的得1分 ；</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（4）规范性（4分）方案规范性强、完整、符合实际、切实可行且无缺陷的得4分，规范性较强存在缺陷的得3分；规范性一般的得1分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本项最高15分，未提供方案不得分。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jc w:val="center"/>
          <w:trHeight w:val="634"/>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组织机构设置方案（7分）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根据供应商提供的组织机构设置方案进行综合评分：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（1）组织机构健全、合理、无缺陷的，得7分；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（2）组织机构较健全、较合理、存在缺陷的，得5分；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（3）组织机构基本健全、基本合理、存在缺陷的，得2分；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（4）无具体内容的，得0分。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本项最高7分。</w:t>
            </w:r>
            <w:r/>
          </w:p>
        </w:tc>
      </w:tr>
      <w:tr>
        <w:trPr>
          <w:jc w:val="center"/>
          <w:trHeight w:val="416"/>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工作人员配备方案</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根据供应商提供的工作人员配备方案进行综合评分：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（1）现场工作人员工种配置全面、比例合理，且能根据季节性和阶段性养护工作对现场工作人员进行量化配置，按照《园林绿化养护管理规范》（DB 3203/T 1010-2021）要求，完全满足养护管理需要的，得12分；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（2）现场工作人员工种配置全面、比例合理，且能根据季节性和阶段性养护工作对现场工作人员进行量化配置，按照《园林绿化养护管理规范》（DB 3203/T 1010-2021）要求，能够满足养护管理需要的，得8分；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（3）现场工作人员工种配置全面，根据工作需要对现场工作人员进行量化，基本满足养护管理需要的，得5分；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（4）不能满足的得0分。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项目总负责人（项目经理）1名、技术员（兼现场负责人）1名、质检员1名、安全员1名、资料员1名、园林园艺修剪专职人员不少于5名，供应商必须书面承诺在成交通知书下达15天内提供与上述人员签订不少于与本项目履约期的用人合同并在该公司缴纳社保等，不能满足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本项最高12分。</w:t>
            </w:r>
            <w:r/>
          </w:p>
        </w:tc>
      </w:tr>
      <w:tr>
        <w:trPr>
          <w:jc w:val="center"/>
          <w:trHeight w:val="758"/>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养护管理机械机具设备配置方案</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根据供应商提供的养护管理机械机具设备配置方案进行综合评分：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（1）根据季节性、阶段性及养护现场实际情况进行量化配置，完全满足养护管理需要的，得12分；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（2）根据季节性、阶段性及养护现场实际情况进行量化配置，能够满足养护管理需要的，得8分；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（3）根据季节性、阶段性及养护现场实际情况进行量化配置，基本满足养护管理需要的，得4分；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（4）根据季节性、阶段性及养护现场实际情况进行量化配置，不能满足养护管理需要的得1分；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（5）无具体内容的，得0分。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本项最高12分。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养护管理机械机具设备配置要求为本项目的最低要求，供应商提供的养护管理机械机具设备不足的必须提供在成交通知书发出之日后15天内全部采购或租赁到位，完全满足采购人需求的书面承诺，不能满足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以上机械机具设备响应文件中须提供采购发票、记账凭证扫描件或购置</w:t>
            </w:r>
            <w:r>
              <w:rPr>
                <w:rFonts w:hint="eastAsia" w:ascii="仿宋" w:hAnsi="仿宋" w:eastAsia="仿宋" w:cs="仿宋"/>
                <w:color w:val="auto"/>
                <w:sz w:val="21"/>
                <w:szCs w:val="21"/>
                <w:highlight w:val="none"/>
                <w:lang w:val="en-US" w:eastAsia="zh-CN" w:bidi="ar-SA"/>
              </w:rPr>
              <w:t xml:space="preserve">(租赁)</w:t>
            </w:r>
            <w:r>
              <w:rPr>
                <w:rFonts w:hint="eastAsia" w:ascii="仿宋" w:hAnsi="仿宋" w:eastAsia="仿宋" w:cs="仿宋"/>
                <w:color w:val="auto"/>
                <w:sz w:val="21"/>
                <w:szCs w:val="21"/>
                <w:highlight w:val="none"/>
                <w:lang w:val="en-US" w:eastAsia="zh-CN" w:bidi="ar-SA"/>
              </w:rPr>
              <w:t xml:space="preserve">承诺书（含拟采购</w:t>
            </w:r>
            <w:r>
              <w:rPr>
                <w:rFonts w:hint="eastAsia" w:ascii="仿宋" w:hAnsi="仿宋" w:eastAsia="仿宋" w:cs="仿宋"/>
                <w:color w:val="auto"/>
                <w:sz w:val="21"/>
                <w:szCs w:val="21"/>
                <w:highlight w:val="none"/>
                <w:lang w:val="en-US" w:eastAsia="zh-CN" w:bidi="ar-SA"/>
              </w:rPr>
              <w:t xml:space="preserve">(租赁)</w:t>
            </w:r>
            <w:r>
              <w:rPr>
                <w:rFonts w:hint="eastAsia" w:ascii="仿宋" w:hAnsi="仿宋" w:eastAsia="仿宋" w:cs="仿宋"/>
                <w:color w:val="auto"/>
                <w:sz w:val="21"/>
                <w:szCs w:val="21"/>
                <w:highlight w:val="none"/>
                <w:lang w:val="en-US" w:eastAsia="zh-CN" w:bidi="ar-SA"/>
              </w:rPr>
              <w:t xml:space="preserve">的机械机具设备名称型号等）且按照本磋商文件第八章机械机具设备配置要求的顺序编排，并提供清单目录。其中，水车等机动车辆还需提供车辆行驶证、车辆保险等证件扫描件资料。</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需要采取租赁的，除提供租赁合同扫描件外，还需要按第八章采购需求中的要求提供养护管理机械机具设备配置相应的所有证明材料的扫描件。</w:t>
            </w:r>
            <w:r/>
          </w:p>
        </w:tc>
      </w:tr>
      <w:tr>
        <w:trPr>
          <w:jc w:val="center"/>
          <w:trHeight w:val="694"/>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重点难点区域养护管理应对措施方案</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根据供应商提供的重点难点区域养护管理应对措施方案内容的针对性、合理性进行综合评分：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内容针对性、合理性强、无缺陷的得8分；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内容针对性、合理性较强、存在缺陷的得6分；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内容针对性、合理性一般、存在缺陷的得4分；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本项最高8分。无具体内容的，得0分。</w:t>
            </w:r>
            <w:r/>
          </w:p>
        </w:tc>
      </w:tr>
      <w:tr>
        <w:trPr>
          <w:jc w:val="center"/>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质量管理措施及承诺</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根据供应商提供的质量管理措施及承诺进行综合评分：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（1）目标明确，严格按照《园林绿化养护管理规范》（DB 3203/T 1010-2021）制定合理可行措施，承诺苗木修剪及时、景观效果佳，始终保持苗木存活率、设施完好率98-100%、无缺陷的，得7分；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（2）目标较明确，按照《园林绿化养护管理规范》（DB 3203/T 1010-2021）制定措施，承诺苗木修剪及时、景观效果好，保持苗木存活率、设施完好率95-97%、存在缺陷的，得5分 ；</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（3）目标一般，措施一般，质量承诺泛泛，存在缺陷的，得2分 ；</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（4）无具体内容的，得0分。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本项最高7分。</w:t>
            </w:r>
            <w:r/>
          </w:p>
        </w:tc>
      </w:tr>
      <w:tr>
        <w:trPr>
          <w:jc w:val="center"/>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安全、文明及环保施工方案</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根据供应商提供的安全、文明及环保施工方案进行综合评分：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（1）有安全、文明及环保施工制度及措施，内容全面，措施到位，针对性强，无缺陷的，得7分；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（2）有安全、文明及环保施工制度及措施，内容较全面，措施基本到位，针对性较强，存在缺陷的，得5分；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（3）有安全、文明及环保施工制度及措施，内容一般，措施一般，有一定的针对性，存在缺陷的，得2分；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（4）无具体内容的，得0分。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本项最高7分。</w:t>
            </w:r>
            <w:r/>
          </w:p>
        </w:tc>
      </w:tr>
      <w:tr>
        <w:trPr>
          <w:jc w:val="center"/>
          <w:trHeight w:val="1184"/>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服从采购人管理措施</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（7分）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根据供应商提供的服从采购人管理措施进行综合评分：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方案内容应完整、符合实际、切实可行且无缺陷（缺陷是指：部分内容与项目无关、逻辑错误、科学原理错误、表述错误、不符合本项目涉及的相关规范或标准要求的任意一种情形）。</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（1）服从采购人日常管理，承诺对采购人安排的例会、资料、试验、整改、考核及各类突击任务等100%按时完成，无缺陷的，得7分；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（2）服从采购人日常管理，承诺对采购人安排的例会、资料、试验、整改、考核等积极响应，存在缺陷的，得5分；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（3）服从采购人日常管理，承诺对采购人安排的例会、资料、试验、整改、考核等部分响应，存在缺陷的，得2分；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（4）无具体内容的，得0分。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本项最高7分。</w:t>
            </w:r>
            <w:r/>
          </w:p>
        </w:tc>
      </w:tr>
      <w:tr>
        <w:trPr>
          <w:jc w:val="center"/>
          <w:trHeight w:val="1412"/>
        </w:trPr>
        <w:tc>
          <w:tcPr>
            <w:tcW w:w="1297" w:type="dxa"/>
            <w:vAlign w:val="center"/>
            <w:vMerge w:val="continue"/>
            <w:textDirection w:val="lrTb"/>
            <w:noWrap w:val="false"/>
          </w:tcPr>
          <w:p>
            <w:pPr>
              <w:pStyle w:val="1075"/>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347"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新工艺、新方法、新措施、新设备等</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（3分）</w:t>
            </w:r>
            <w:r/>
          </w:p>
        </w:tc>
        <w:tc>
          <w:tcPr>
            <w:tcW w:w="7291" w:type="dxa"/>
            <w:vAlign w:val="center"/>
            <w:textDirection w:val="lrTb"/>
            <w:noWrap w:val="false"/>
          </w:tcPr>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根据方案内容的针对性、合理性进行综合评分。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（1）内容针对性、合理性强的得3分；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（2）内容针对性、合理性较强的得2分；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（3）内容针对性、合理性一般的得1分。</w:t>
            </w:r>
            <w:r/>
          </w:p>
          <w:p>
            <w:pP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本项最高3分。无具体内容的，得0分。</w:t>
            </w:r>
            <w:r/>
          </w:p>
        </w:tc>
      </w:tr>
    </w:tbl>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rPr>
        <w:t xml:space="preserve">说明：本项目采用综合评分法，评分结果精确到小数点后两位。</w:t>
      </w:r>
      <w:r/>
    </w:p>
    <w:p>
      <w:pPr>
        <w:rPr>
          <w:rStyle w:val="1345"/>
          <w:rFonts w:hint="eastAsia" w:ascii="仿宋" w:hAnsi="仿宋" w:eastAsia="仿宋" w:cs="仿宋"/>
          <w:color w:val="auto"/>
          <w:sz w:val="24"/>
          <w:szCs w:val="24"/>
          <w:highlight w:val="none"/>
        </w:rPr>
      </w:pPr>
      <w:r/>
      <w:bookmarkStart w:id="23" w:name="_Toc32561"/>
      <w:r>
        <w:rPr>
          <w:rStyle w:val="1345"/>
          <w:rFonts w:hint="eastAsia" w:ascii="仿宋" w:hAnsi="仿宋" w:eastAsia="仿宋" w:cs="仿宋"/>
          <w:color w:val="auto"/>
          <w:sz w:val="24"/>
          <w:szCs w:val="24"/>
          <w:highlight w:val="none"/>
        </w:rPr>
        <w:br w:type="page" w:clear="all"/>
      </w:r>
      <w:r/>
    </w:p>
    <w:p>
      <w:pPr>
        <w:pStyle w:val="1314"/>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pPr>
      <w:r/>
      <w:bookmarkStart w:id="24" w:name="_Toc25608"/>
      <w:r>
        <w:rPr>
          <w:rStyle w:val="1345"/>
          <w:rFonts w:hint="eastAsia" w:ascii="仿宋" w:hAnsi="仿宋" w:eastAsia="仿宋" w:cs="仿宋"/>
          <w:color w:val="auto"/>
          <w:sz w:val="24"/>
          <w:szCs w:val="24"/>
          <w:highlight w:val="none"/>
        </w:rPr>
        <w:t xml:space="preserve">第八章 项目要求（采购需求）</w:t>
      </w:r>
      <w:bookmarkEnd w:id="22"/>
      <w:r/>
      <w:bookmarkEnd w:id="23"/>
      <w:r/>
      <w:bookmarkEnd w:id="24"/>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一、说明</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采购人：</w:t>
      </w:r>
      <w:r>
        <w:rPr>
          <w:rFonts w:hint="eastAsia" w:ascii="仿宋" w:hAnsi="仿宋" w:eastAsia="仿宋" w:cs="仿宋"/>
          <w:color w:val="auto"/>
          <w:sz w:val="24"/>
          <w:szCs w:val="24"/>
          <w:highlight w:val="none"/>
          <w:lang w:eastAsia="zh-CN"/>
        </w:rPr>
        <w:t xml:space="preserve">徐州市住房和城乡建设局</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2025年徐州市新城区新移交市管道路绿地养护管理</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采购标的：</w:t>
      </w:r>
      <w:r>
        <w:rPr>
          <w:rFonts w:hint="eastAsia" w:ascii="仿宋" w:hAnsi="仿宋" w:eastAsia="仿宋" w:cs="仿宋"/>
          <w:color w:val="auto"/>
          <w:sz w:val="24"/>
          <w:szCs w:val="24"/>
          <w:highlight w:val="none"/>
          <w:lang w:eastAsia="zh-CN"/>
        </w:rPr>
        <w:t xml:space="preserve">2025年徐州市新城区新移交市管道路绿地养护管理</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采购标的对应的中小企业划分标准所属行业为</w:t>
      </w:r>
      <w:r>
        <w:rPr>
          <w:rFonts w:hint="eastAsia" w:ascii="仿宋" w:hAnsi="仿宋" w:eastAsia="仿宋" w:cs="仿宋"/>
          <w:color w:val="auto"/>
          <w:sz w:val="24"/>
          <w:szCs w:val="24"/>
          <w:highlight w:val="none"/>
          <w:lang w:eastAsia="zh-CN"/>
        </w:rPr>
        <w:t xml:space="preserve">其他未列明行业</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注：中小企业划分标准所属行业以《关于印发中小企业划型标准规定的通知》（工信部联企业[2011]300号）的规定为准。</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本项目为专门面向中小企业的项目。</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不接受超过最高限价</w:t>
      </w:r>
      <w:r>
        <w:rPr>
          <w:rFonts w:hint="eastAsia" w:ascii="仿宋" w:hAnsi="仿宋" w:eastAsia="仿宋" w:cs="仿宋"/>
          <w:color w:val="auto"/>
          <w:sz w:val="24"/>
          <w:szCs w:val="24"/>
          <w:highlight w:val="none"/>
          <w:lang w:val="en-US" w:eastAsia="zh-CN"/>
        </w:rPr>
        <w:t xml:space="preserve"> 81.39万元</w:t>
      </w:r>
      <w:r>
        <w:rPr>
          <w:rFonts w:hint="eastAsia" w:ascii="仿宋" w:hAnsi="仿宋" w:eastAsia="仿宋" w:cs="仿宋"/>
          <w:color w:val="auto"/>
          <w:sz w:val="24"/>
          <w:szCs w:val="24"/>
          <w:highlight w:val="none"/>
        </w:rPr>
        <w:t xml:space="preserve">的报价（人民币）</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二、服务内容</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本项目合同履行期限为</w:t>
      </w:r>
      <w:r>
        <w:rPr>
          <w:rFonts w:hint="eastAsia" w:ascii="仿宋" w:hAnsi="仿宋" w:eastAsia="仿宋" w:cs="仿宋"/>
          <w:color w:val="auto"/>
          <w:sz w:val="24"/>
          <w:szCs w:val="24"/>
          <w:highlight w:val="none"/>
          <w:lang w:val="en-US" w:eastAsia="zh-CN"/>
        </w:rPr>
        <w:t xml:space="preserve">14-17</w:t>
      </w:r>
      <w:r>
        <w:rPr>
          <w:rFonts w:hint="eastAsia" w:ascii="仿宋" w:hAnsi="仿宋" w:eastAsia="仿宋" w:cs="仿宋"/>
          <w:color w:val="auto"/>
          <w:sz w:val="24"/>
          <w:szCs w:val="24"/>
          <w:highlight w:val="none"/>
        </w:rPr>
        <w:t xml:space="preserve">个月</w:t>
      </w:r>
      <w:r>
        <w:rPr>
          <w:rFonts w:hint="eastAsia" w:ascii="仿宋" w:hAnsi="仿宋" w:eastAsia="仿宋" w:cs="仿宋"/>
          <w:color w:val="auto"/>
          <w:sz w:val="24"/>
          <w:szCs w:val="24"/>
          <w:highlight w:val="none"/>
          <w:lang w:val="en-US" w:eastAsia="zh-CN"/>
        </w:rPr>
        <w:t xml:space="preserve">不等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以实际养护时间为准,</w:t>
      </w:r>
      <w:r>
        <w:rPr>
          <w:rFonts w:hint="eastAsia" w:ascii="仿宋" w:hAnsi="仿宋" w:eastAsia="仿宋" w:cs="仿宋"/>
          <w:color w:val="auto"/>
          <w:sz w:val="24"/>
          <w:szCs w:val="24"/>
          <w:highlight w:val="none"/>
        </w:rPr>
        <w:t xml:space="preserve">服务内容为对市管道路及其附属绿地、公园绿地进行养护管理，包括绿化苗木管理、病虫害防治、肥水管理、卫生保洁、秩序巡查等服务。</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本项目磋商</w:t>
      </w:r>
      <w:r>
        <w:rPr>
          <w:rFonts w:hint="eastAsia" w:ascii="仿宋" w:hAnsi="仿宋" w:eastAsia="仿宋" w:cs="仿宋"/>
          <w:color w:val="auto"/>
          <w:sz w:val="24"/>
          <w:szCs w:val="24"/>
          <w:highlight w:val="none"/>
        </w:rPr>
        <w:t xml:space="preserve">报价为</w:t>
      </w:r>
      <w:r>
        <w:rPr>
          <w:rFonts w:hint="eastAsia" w:ascii="仿宋" w:hAnsi="仿宋" w:eastAsia="仿宋" w:cs="仿宋"/>
          <w:color w:val="auto"/>
          <w:sz w:val="24"/>
          <w:szCs w:val="24"/>
          <w:highlight w:val="none"/>
          <w:lang w:val="en-US" w:eastAsia="zh-CN"/>
        </w:rPr>
        <w:t xml:space="preserve">14-17</w:t>
      </w:r>
      <w:r>
        <w:rPr>
          <w:rFonts w:hint="eastAsia" w:ascii="仿宋" w:hAnsi="仿宋" w:eastAsia="仿宋" w:cs="仿宋"/>
          <w:color w:val="auto"/>
          <w:sz w:val="24"/>
          <w:szCs w:val="24"/>
          <w:highlight w:val="none"/>
        </w:rPr>
        <w:t xml:space="preserve">个月</w:t>
      </w:r>
      <w:r>
        <w:rPr>
          <w:rFonts w:hint="eastAsia" w:ascii="仿宋" w:hAnsi="仿宋" w:eastAsia="仿宋" w:cs="仿宋"/>
          <w:color w:val="auto"/>
          <w:sz w:val="24"/>
          <w:szCs w:val="24"/>
          <w:highlight w:val="none"/>
          <w:lang w:val="en-US" w:eastAsia="zh-CN"/>
        </w:rPr>
        <w:t xml:space="preserve">不等</w:t>
      </w:r>
      <w:r>
        <w:rPr>
          <w:rFonts w:hint="eastAsia" w:ascii="仿宋" w:hAnsi="仿宋" w:eastAsia="仿宋" w:cs="仿宋"/>
          <w:color w:val="auto"/>
          <w:sz w:val="24"/>
          <w:szCs w:val="24"/>
          <w:highlight w:val="none"/>
        </w:rPr>
        <w:t xml:space="preserve">的养护管理费用报价，包括</w:t>
      </w:r>
      <w:r>
        <w:rPr>
          <w:rFonts w:hint="eastAsia" w:ascii="仿宋" w:hAnsi="仿宋" w:eastAsia="仿宋" w:cs="仿宋"/>
          <w:color w:val="auto"/>
          <w:sz w:val="24"/>
          <w:szCs w:val="24"/>
          <w:highlight w:val="none"/>
          <w:lang w:val="en-US" w:eastAsia="zh-CN"/>
        </w:rPr>
        <w:t xml:space="preserve">但不限于</w:t>
      </w:r>
      <w:r>
        <w:rPr>
          <w:rFonts w:hint="eastAsia" w:ascii="仿宋" w:hAnsi="仿宋" w:eastAsia="仿宋" w:cs="仿宋"/>
          <w:color w:val="auto"/>
          <w:sz w:val="24"/>
          <w:szCs w:val="24"/>
          <w:highlight w:val="none"/>
        </w:rPr>
        <w:t xml:space="preserve">每年化肥、农药、</w:t>
      </w:r>
      <w:r>
        <w:rPr>
          <w:rFonts w:hint="eastAsia" w:ascii="仿宋" w:hAnsi="仿宋" w:eastAsia="仿宋" w:cs="仿宋"/>
          <w:color w:val="auto"/>
          <w:sz w:val="24"/>
          <w:szCs w:val="24"/>
          <w:highlight w:val="none"/>
          <w:lang w:val="en-US" w:eastAsia="zh-CN"/>
        </w:rPr>
        <w:t xml:space="preserve">更换</w:t>
      </w:r>
      <w:r>
        <w:rPr>
          <w:rFonts w:hint="eastAsia" w:ascii="仿宋" w:hAnsi="仿宋" w:eastAsia="仿宋" w:cs="仿宋"/>
          <w:color w:val="auto"/>
          <w:sz w:val="24"/>
          <w:szCs w:val="24"/>
          <w:highlight w:val="none"/>
        </w:rPr>
        <w:t xml:space="preserve">补植苗木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改造绿地</w:t>
      </w:r>
      <w:r>
        <w:rPr>
          <w:rFonts w:hint="eastAsia" w:ascii="仿宋" w:hAnsi="仿宋" w:eastAsia="仿宋" w:cs="仿宋"/>
          <w:color w:val="auto"/>
          <w:sz w:val="24"/>
          <w:szCs w:val="24"/>
          <w:highlight w:val="none"/>
        </w:rPr>
        <w:t xml:space="preserve">有关物资等费用。</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三、服务范围</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下表内各</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所有绿地养护管理，包括</w:t>
      </w:r>
      <w:r>
        <w:rPr>
          <w:rFonts w:hint="eastAsia" w:ascii="仿宋" w:hAnsi="仿宋" w:eastAsia="仿宋" w:cs="仿宋"/>
          <w:color w:val="auto"/>
          <w:sz w:val="24"/>
          <w:szCs w:val="24"/>
          <w:highlight w:val="none"/>
          <w:lang w:val="en-US" w:eastAsia="zh-CN"/>
        </w:rPr>
        <w:t xml:space="preserve">但不限于</w:t>
      </w:r>
      <w:r>
        <w:rPr>
          <w:rFonts w:hint="eastAsia" w:ascii="仿宋" w:hAnsi="仿宋" w:eastAsia="仿宋" w:cs="仿宋"/>
          <w:color w:val="auto"/>
          <w:sz w:val="24"/>
          <w:szCs w:val="24"/>
          <w:highlight w:val="none"/>
        </w:rPr>
        <w:t xml:space="preserve">每年化肥、农药、</w:t>
      </w:r>
      <w:r>
        <w:rPr>
          <w:rFonts w:hint="eastAsia" w:ascii="仿宋" w:hAnsi="仿宋" w:eastAsia="仿宋" w:cs="仿宋"/>
          <w:color w:val="auto"/>
          <w:sz w:val="24"/>
          <w:szCs w:val="24"/>
          <w:highlight w:val="none"/>
          <w:lang w:val="en-US" w:eastAsia="zh-CN"/>
        </w:rPr>
        <w:t xml:space="preserve">更换</w:t>
      </w:r>
      <w:r>
        <w:rPr>
          <w:rFonts w:hint="eastAsia" w:ascii="仿宋" w:hAnsi="仿宋" w:eastAsia="仿宋" w:cs="仿宋"/>
          <w:color w:val="auto"/>
          <w:sz w:val="24"/>
          <w:szCs w:val="24"/>
          <w:highlight w:val="none"/>
        </w:rPr>
        <w:t xml:space="preserve">补植苗木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改造绿地</w:t>
      </w:r>
      <w:r>
        <w:rPr>
          <w:rFonts w:hint="eastAsia" w:ascii="仿宋" w:hAnsi="仿宋" w:eastAsia="仿宋" w:cs="仿宋"/>
          <w:color w:val="auto"/>
          <w:sz w:val="24"/>
          <w:szCs w:val="24"/>
          <w:highlight w:val="none"/>
        </w:rPr>
        <w:t xml:space="preserve">等。</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直管绿地名称级别及面积</w:t>
      </w:r>
      <w:r/>
    </w:p>
    <w:tbl>
      <w:tblPr>
        <w:tblStyle w:val="1057"/>
        <w:tblW w:w="9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6"/>
        <w:gridCol w:w="1995"/>
        <w:gridCol w:w="2055"/>
        <w:gridCol w:w="752"/>
        <w:gridCol w:w="1327"/>
        <w:gridCol w:w="1026"/>
        <w:gridCol w:w="1140"/>
        <w:gridCol w:w="858"/>
      </w:tblGrid>
      <w:tr>
        <w:trPr>
          <w:trHeight w:val="123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采购包名称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绿地名称</w:t>
            </w:r>
            <w:r/>
          </w:p>
        </w:tc>
        <w:tc>
          <w:tcPr>
            <w:shd w:val="clear" w:color="auto" w:fill="auto"/>
            <w:tcBorders>
              <w:top w:val="single" w:color="000000" w:sz="4" w:space="0"/>
              <w:left w:val="single" w:color="000000" w:sz="4" w:space="0"/>
              <w:bottom w:val="none" w:color="000000" w:sz="4" w:space="0"/>
              <w:right w:val="single" w:color="000000" w:sz="4" w:space="0"/>
            </w:tcBorders>
            <w:tcW w:w="2055" w:type="dxa"/>
            <w:vAlign w:val="center"/>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范围</w:t>
            </w:r>
            <w:r/>
          </w:p>
        </w:tc>
        <w:tc>
          <w:tcPr>
            <w:shd w:val="clear" w:color="auto" w:fill="auto"/>
            <w:tcBorders>
              <w:top w:val="single" w:color="000000" w:sz="4" w:space="0"/>
              <w:left w:val="single" w:color="000000" w:sz="4" w:space="0"/>
              <w:bottom w:val="none" w:color="000000" w:sz="4" w:space="0"/>
              <w:right w:val="single" w:color="000000" w:sz="4" w:space="0"/>
            </w:tcBorders>
            <w:tcW w:w="752"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绿地级别</w:t>
            </w:r>
            <w:r/>
          </w:p>
        </w:tc>
        <w:tc>
          <w:tcPr>
            <w:shd w:val="clear" w:color="auto" w:fill="auto"/>
            <w:tcBorders>
              <w:top w:val="single" w:color="000000" w:sz="4" w:space="0"/>
              <w:left w:val="single" w:color="000000" w:sz="4" w:space="0"/>
              <w:bottom w:val="none" w:color="000000" w:sz="4" w:space="0"/>
              <w:right w:val="single" w:color="000000" w:sz="4" w:space="0"/>
            </w:tcBorders>
            <w:tcW w:w="1327"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普通行道树数量（株）</w:t>
            </w:r>
            <w:r/>
          </w:p>
        </w:tc>
        <w:tc>
          <w:tcPr>
            <w:shd w:val="clear" w:color="auto" w:fill="auto"/>
            <w:tcBorders>
              <w:top w:val="single" w:color="000000" w:sz="4" w:space="0"/>
              <w:left w:val="none" w:color="000000" w:sz="4" w:space="0"/>
              <w:bottom w:val="none" w:color="000000" w:sz="4" w:space="0"/>
              <w:right w:val="single" w:color="000000" w:sz="4" w:space="0"/>
            </w:tcBorders>
            <w:tcW w:w="1140"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养护期限（月）</w:t>
            </w:r>
            <w:r/>
          </w:p>
        </w:tc>
        <w:tc>
          <w:tcPr>
            <w:shd w:val="clear" w:color="auto" w:fill="auto"/>
            <w:tcBorders>
              <w:top w:val="single" w:color="000000" w:sz="4" w:space="0"/>
              <w:left w:val="none" w:color="000000" w:sz="4" w:space="0"/>
              <w:bottom w:val="none" w:color="000000" w:sz="4" w:space="0"/>
              <w:right w:val="single" w:color="000000" w:sz="4" w:space="0"/>
            </w:tcBorders>
            <w:tcW w:w="858" w:type="dxa"/>
            <w:vAlign w:val="center"/>
            <w:textDirection w:val="lrTb"/>
            <w:noWrap w:val="false"/>
          </w:tcPr>
          <w:p>
            <w:pPr>
              <w:pStyle w:val="1075"/>
              <w:keepLines w:val="0"/>
              <w:keepNext w:val="0"/>
              <w:pageBreakBefore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2025年新移交标段</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2021年新城区道路林荫化改造工程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经十八路（新元大道至昆仑大道）西侧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一级(乙类)</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徐州市金沙路景观绿化工程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金沙路（云台路至昆仑大道）西侧绿化带</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37138.00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金沙路三期（昆仑大道至富春路）道路工程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金沙路（昆仑大道至新安路段）</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3746.00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彭祖大道快速路会议中心段绿化</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彭祖大道快速路会议中心段（彭祖大道一号桥南130米-肖庄河）</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10588.00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533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彭祖大道快速路绿化</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（汉源大道至新元大道）</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云龙区彭祖大道与新元大道交叉口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13400.00 </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徐州市新城区镜泊东路</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（新元大道-金沙路）市政工程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镜泊东路（新元大道-金沙路）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2169.00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徐州市新城区镜泊东路</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（明正路-新元大道）工程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镜泊东路（明正路-新元大道）</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792.00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徐州市云龙区丽水路（金沙路-富春路段）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丽水路东侧位置</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（金沙路-富春路段）</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902.00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会议中心南侧溢流堰及河道整治工程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彭祖大道西侧景观带，彭祖大道一号桥南侧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太行路消防站道路改造工程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太行路消防站西侧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1025.30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汉风路两侧绿地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（太行路-峨眉路）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4154.35</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restart"/>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2021年在建项目占用绿地苗木移植养护工程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汉风路北侧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新元大道北侧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金沙路西侧绿化带</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元和路（太行路-峨眉路）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2020年在建项目占用绿地苗木移植养护工程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碧桂园西侧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6468.00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轨道交通6号线一期工程第二批开工站点苗木移植项目</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新元大道北侧和湘江路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肖庄河西延项目（彭祖大道-故黄河）河道及普陀路桥梁工程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普陀路（纬八路-纬七路)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restart"/>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徐州市新城区积水点治理工程二期</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徐州市新城区积水点治理工程二期一标段</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544.00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二标段-丽水路与汉源大道交叉口</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1872.00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三标段-钱塘路西侧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1042.00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云龙区经16路（商聚路）道路附属工程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纬16路至纬二河桥北侧</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3543.00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徐州市紫金路（汉风路-唐盛路）道路建设项目</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汉风路-唐盛路</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983.00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1097.00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不在此次移交范围内</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1075"/>
              <w:ind w:firstLine="42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徐州市新城区云台路（唐盛路-汉源大道）绿化工程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603.00</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489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91004.65</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2779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四、工作人员配备要求（本条为实质性响应指标，如有任何一项不满足或负偏离则视为无效投标。）</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1.人数要求（以下人数为最低标准，</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可根据自身情况增加）</w:t>
      </w:r>
      <w:r/>
    </w:p>
    <w:tbl>
      <w:tblPr>
        <w:tblStyle w:val="1057"/>
        <w:tblW w:w="94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1080"/>
        <w:gridCol w:w="990"/>
        <w:gridCol w:w="1335"/>
        <w:gridCol w:w="750"/>
        <w:gridCol w:w="870"/>
        <w:gridCol w:w="735"/>
        <w:gridCol w:w="1455"/>
        <w:gridCol w:w="1150"/>
      </w:tblGrid>
      <w:tr>
        <w:trPr>
          <w:trHeight w:val="711"/>
        </w:trPr>
        <w:tc>
          <w:tcPr>
            <w:gridSpan w:val="9"/>
            <w:tcW w:w="9463" w:type="dxa"/>
            <w:vAlign w:val="center"/>
            <w:textDirection w:val="lrTb"/>
            <w:noWrap w:val="false"/>
          </w:tcPr>
          <w:p>
            <w:pPr>
              <w:pStyle w:val="1075"/>
              <w:ind w:firstLine="0"/>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现场工作人员最低人员</w:t>
            </w:r>
            <w:r/>
          </w:p>
        </w:tc>
      </w:tr>
      <w:tr>
        <w:trPr>
          <w:trHeight w:val="711"/>
        </w:trPr>
        <w:tc>
          <w:tcPr>
            <w:shd w:val="clear" w:color="auto" w:fill="auto"/>
            <w:tcW w:w="1098"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采购包名称</w:t>
            </w:r>
            <w:r/>
          </w:p>
        </w:tc>
        <w:tc>
          <w:tcPr>
            <w:shd w:val="clear" w:color="auto" w:fill="auto"/>
            <w:tcW w:w="1080"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总人数</w:t>
            </w:r>
            <w:r/>
          </w:p>
        </w:tc>
        <w:tc>
          <w:tcPr>
            <w:shd w:val="clear" w:color="auto" w:fill="auto"/>
            <w:tcW w:w="990"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项目总负责人</w:t>
            </w:r>
            <w:r/>
          </w:p>
        </w:tc>
        <w:tc>
          <w:tcPr>
            <w:shd w:val="clear" w:color="auto" w:fill="auto"/>
            <w:tcW w:w="133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技术员兼现场负责人）</w:t>
            </w:r>
            <w:r/>
          </w:p>
        </w:tc>
        <w:tc>
          <w:tcPr>
            <w:shd w:val="clear" w:color="auto" w:fill="auto"/>
            <w:tcW w:w="750"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质检员</w:t>
            </w:r>
            <w:r/>
          </w:p>
        </w:tc>
        <w:tc>
          <w:tcPr>
            <w:shd w:val="clear" w:color="auto" w:fill="auto"/>
            <w:tcW w:w="870"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安全员</w:t>
            </w:r>
            <w:r/>
          </w:p>
        </w:tc>
        <w:tc>
          <w:tcPr>
            <w:shd w:val="clear" w:color="auto" w:fill="auto"/>
            <w:tcW w:w="73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资料员</w:t>
            </w:r>
            <w:r/>
          </w:p>
        </w:tc>
        <w:tc>
          <w:tcPr>
            <w:shd w:val="clear" w:color="auto" w:fill="auto"/>
            <w:tcW w:w="1455"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专职园林园艺修剪</w:t>
            </w:r>
            <w:r>
              <w:rPr>
                <w:rFonts w:hint="eastAsia" w:ascii="仿宋" w:hAnsi="仿宋" w:eastAsia="仿宋" w:cs="仿宋"/>
                <w:color w:val="auto"/>
                <w:sz w:val="24"/>
                <w:szCs w:val="24"/>
                <w:highlight w:val="none"/>
                <w:lang w:val="en-US" w:eastAsia="zh-CN"/>
              </w:rPr>
              <w:t xml:space="preserve">工</w:t>
            </w:r>
            <w:r/>
          </w:p>
        </w:tc>
        <w:tc>
          <w:tcPr>
            <w:shd w:val="clear" w:color="auto" w:fill="auto"/>
            <w:tcW w:w="1150"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现场养护</w:t>
            </w:r>
            <w:r>
              <w:rPr>
                <w:rFonts w:hint="eastAsia" w:ascii="仿宋" w:hAnsi="仿宋" w:eastAsia="仿宋" w:cs="仿宋"/>
                <w:color w:val="auto"/>
                <w:sz w:val="24"/>
                <w:szCs w:val="24"/>
                <w:highlight w:val="none"/>
                <w:lang w:val="en-US" w:eastAsia="zh-CN"/>
              </w:rPr>
              <w:t xml:space="preserve">工</w:t>
            </w:r>
            <w:r/>
          </w:p>
        </w:tc>
      </w:tr>
      <w:tr>
        <w:trPr>
          <w:trHeight w:val="711"/>
        </w:trPr>
        <w:tc>
          <w:tcPr>
            <w:tcW w:w="1098" w:type="dxa"/>
            <w:vAlign w:val="center"/>
            <w:textDirection w:val="lrTb"/>
            <w:noWrap w:val="false"/>
          </w:tcPr>
          <w:p>
            <w:pPr>
              <w:pStyle w:val="1075"/>
              <w:ind w:firstLine="0"/>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bookmarkStart w:id="25" w:name="_Hlk51278272"/>
            <w:r>
              <w:rPr>
                <w:rFonts w:hint="eastAsia" w:ascii="仿宋" w:hAnsi="仿宋" w:eastAsia="仿宋" w:cs="仿宋"/>
                <w:color w:val="auto"/>
                <w:sz w:val="24"/>
                <w:szCs w:val="24"/>
                <w:highlight w:val="none"/>
                <w:lang w:val="en-US" w:eastAsia="zh-CN"/>
              </w:rPr>
              <w:t xml:space="preserve">2025年新移交标段</w:t>
            </w:r>
            <w:r/>
          </w:p>
        </w:tc>
        <w:tc>
          <w:tcPr>
            <w:tcW w:w="1080" w:type="dxa"/>
            <w:vAlign w:val="center"/>
            <w:textDirection w:val="lrTb"/>
            <w:noWrap w:val="false"/>
          </w:tcPr>
          <w:p>
            <w:pPr>
              <w:pStyle w:val="1075"/>
              <w:ind w:firstLine="0"/>
              <w:jc w:val="center"/>
              <w:keepLines w:val="0"/>
              <w:keepNext w:val="0"/>
              <w:pageBreakBefore w:val="0"/>
              <w:spacing w:line="312"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W w:w="990"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33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50"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870"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3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45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1150"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r>
    </w:tbl>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2.项目总负责人（1人）必须具有园林绿化工程师及以上职称（如职称证书反映不出园林绿化专业则必须提供</w:t>
      </w:r>
      <w:r>
        <w:rPr>
          <w:rFonts w:hint="eastAsia" w:ascii="仿宋" w:hAnsi="仿宋" w:eastAsia="仿宋" w:cs="仿宋"/>
          <w:color w:val="auto"/>
          <w:sz w:val="24"/>
          <w:szCs w:val="24"/>
          <w:highlight w:val="none"/>
          <w:lang w:val="en-US" w:eastAsia="zh-CN"/>
        </w:rPr>
        <w:t xml:space="preserve">完整的相应职称评审表</w:t>
      </w:r>
      <w:r>
        <w:rPr>
          <w:rFonts w:hint="eastAsia" w:ascii="仿宋" w:hAnsi="仿宋" w:eastAsia="仿宋" w:cs="仿宋"/>
          <w:color w:val="auto"/>
          <w:sz w:val="24"/>
          <w:szCs w:val="24"/>
          <w:highlight w:val="none"/>
        </w:rPr>
        <w:t xml:space="preserve">），或者园林绿化高级工</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项目总负责人和技术员不得擅自更换。</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3.技术员（兼现场负责人，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人）必须具有园林绿化初级及以上职称证书（如职称证书反映不出园林绿化专业则必须提供</w:t>
      </w:r>
      <w:r>
        <w:rPr>
          <w:rFonts w:hint="eastAsia" w:ascii="仿宋" w:hAnsi="仿宋" w:eastAsia="仿宋" w:cs="仿宋"/>
          <w:color w:val="auto"/>
          <w:sz w:val="24"/>
          <w:szCs w:val="24"/>
          <w:highlight w:val="none"/>
          <w:lang w:val="en-US" w:eastAsia="zh-CN"/>
        </w:rPr>
        <w:t xml:space="preserve">完整的相应职称评审表</w:t>
      </w:r>
      <w:r>
        <w:rPr>
          <w:rFonts w:hint="eastAsia" w:ascii="仿宋" w:hAnsi="仿宋" w:eastAsia="仿宋" w:cs="仿宋"/>
          <w:color w:val="auto"/>
          <w:sz w:val="24"/>
          <w:szCs w:val="24"/>
          <w:highlight w:val="none"/>
        </w:rPr>
        <w:t xml:space="preserve">），或者园林绿化中级工</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以上资格证书。</w:t>
      </w: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项目总负责人和技术员（兼现场负责人）在项目履约过程中，不得擅自更换。</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质检员（1人）、安全员（1人）、资料员（1人）、专职园林修剪工（</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人），具有相应证书并提供扫描件，证书包括绿化工、园艺工、花卉工、安全员等。</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eastAsia="zh-CN"/>
        </w:rPr>
        <w:t xml:space="preserve">项目总负责人、技术员、质检员、安全员、资料员、专职园林修剪工须提供相应证书扫描件及供应商</w:t>
      </w:r>
      <w:r>
        <w:rPr>
          <w:rFonts w:hint="eastAsia" w:ascii="仿宋" w:hAnsi="仿宋" w:eastAsia="仿宋" w:cs="仿宋"/>
          <w:color w:val="auto"/>
          <w:sz w:val="24"/>
          <w:szCs w:val="24"/>
          <w:highlight w:val="none"/>
          <w:lang w:eastAsia="zh-CN"/>
        </w:rPr>
        <w:t xml:space="preserve">为其缴纳的近6个月任意一个月社保证明扫描件</w:t>
      </w:r>
      <w:r>
        <w:rPr>
          <w:rFonts w:hint="eastAsia" w:ascii="仿宋" w:hAnsi="仿宋" w:eastAsia="仿宋" w:cs="仿宋"/>
          <w:color w:val="auto"/>
          <w:sz w:val="24"/>
          <w:szCs w:val="24"/>
          <w:highlight w:val="none"/>
          <w:lang w:val="en-US" w:eastAsia="zh-CN"/>
        </w:rPr>
        <w:t xml:space="preserve">。</w:t>
      </w:r>
      <w:bookmarkEnd w:id="25"/>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.统一工作服装。</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.提供24小时应急服务，附近应有固定办公地点、值班人员及联系电话。</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五、养护管理机械机具设备配置要求（以下数量为最低标准，</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可根据自身情况增加）。</w:t>
      </w:r>
      <w:r/>
    </w:p>
    <w:tbl>
      <w:tblPr>
        <w:tblStyle w:val="1057"/>
        <w:tblW w:w="9727" w:type="dxa"/>
        <w:jc w:val="center"/>
        <w:tblLayout w:type="fixed"/>
        <w:tblCellMar>
          <w:left w:w="108" w:type="dxa"/>
          <w:top w:w="0" w:type="dxa"/>
          <w:right w:w="108" w:type="dxa"/>
          <w:bottom w:w="0" w:type="dxa"/>
        </w:tblCellMar>
        <w:tblLook w:val="04A0" w:firstRow="1" w:lastRow="0" w:firstColumn="1" w:lastColumn="0" w:noHBand="0" w:noVBand="1"/>
      </w:tblPr>
      <w:tblGrid>
        <w:gridCol w:w="711"/>
        <w:gridCol w:w="486"/>
        <w:gridCol w:w="486"/>
        <w:gridCol w:w="486"/>
        <w:gridCol w:w="486"/>
        <w:gridCol w:w="486"/>
        <w:gridCol w:w="486"/>
        <w:gridCol w:w="832"/>
        <w:gridCol w:w="1305"/>
        <w:gridCol w:w="2085"/>
        <w:gridCol w:w="1027"/>
        <w:gridCol w:w="851"/>
      </w:tblGrid>
      <w:tr>
        <w:trPr>
          <w:jc w:val="center"/>
          <w:trHeight w:val="1962"/>
        </w:trPr>
        <w:tc>
          <w:tcPr>
            <w:tcBorders>
              <w:top w:val="single" w:color="000000" w:sz="4" w:space="0"/>
              <w:left w:val="single" w:color="000000" w:sz="4" w:space="0"/>
              <w:bottom w:val="none" w:color="000000" w:sz="4" w:space="0"/>
              <w:right w:val="single" w:color="000000" w:sz="4" w:space="0"/>
            </w:tcBorders>
            <w:tcW w:w="711" w:type="dxa"/>
            <w:vAlign w:val="center"/>
            <w:vMerge w:val="restart"/>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采购包名称</w:t>
            </w:r>
            <w:r/>
          </w:p>
        </w:tc>
        <w:tc>
          <w:tcPr>
            <w:gridSpan w:val="7"/>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树枝叶粉碎设备</w:t>
            </w:r>
            <w:r/>
          </w:p>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000000" w:sz="4" w:space="0"/>
              <w:left w:val="none" w:color="000000" w:sz="4" w:space="0"/>
              <w:bottom w:val="single" w:color="000000" w:sz="4" w:space="0"/>
              <w:right w:val="single" w:color="000000" w:sz="4" w:space="0"/>
            </w:tcBorders>
            <w:tcW w:w="208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道路安全防护设施（组）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保洁设备（辆）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数字化城管案件办理（部）</w:t>
            </w:r>
            <w:r/>
          </w:p>
        </w:tc>
      </w:tr>
      <w:tr>
        <w:trPr>
          <w:jc w:val="center"/>
          <w:trHeight w:val="1560"/>
        </w:trPr>
        <w:tc>
          <w:tcPr>
            <w:tcBorders>
              <w:top w:val="non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水车</w:t>
            </w:r>
            <w:r/>
          </w:p>
        </w:tc>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喷药设备</w:t>
            </w:r>
            <w:r/>
          </w:p>
        </w:tc>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绿篱修剪机</w:t>
            </w:r>
            <w:r/>
          </w:p>
        </w:tc>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草坪修剪机</w:t>
            </w:r>
            <w:r/>
          </w:p>
        </w:tc>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割灌机</w:t>
            </w:r>
            <w:r/>
          </w:p>
        </w:tc>
        <w:tc>
          <w:tcPr>
            <w:tcBorders>
              <w:top w:val="none" w:color="000000" w:sz="4" w:space="0"/>
              <w:left w:val="singl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疏草机</w:t>
            </w:r>
            <w:r/>
          </w:p>
        </w:tc>
        <w:tc>
          <w:tcPr>
            <w:tcBorders>
              <w:top w:val="non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水肥一体机（机械）</w:t>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可移动铡切揉碎机</w:t>
            </w:r>
            <w:r/>
          </w:p>
        </w:tc>
        <w:tc>
          <w:tcPr>
            <w:tcBorders>
              <w:top w:val="none" w:color="000000" w:sz="4" w:space="0"/>
              <w:left w:val="single" w:color="000000" w:sz="4" w:space="0"/>
              <w:bottom w:val="single" w:color="000000" w:sz="4" w:space="0"/>
              <w:right w:val="single" w:color="000000" w:sz="4" w:space="0"/>
            </w:tcBorders>
            <w:tcW w:w="208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c>
          <w:tcPr>
            <w:tcBorders>
              <w:top w:val="none" w:color="000000" w:sz="4" w:space="0"/>
              <w:left w:val="single" w:color="000000" w:sz="4" w:space="0"/>
              <w:bottom w:val="single" w:color="000000" w:sz="4" w:space="0"/>
              <w:right w:val="single" w:color="000000" w:sz="4" w:space="0"/>
            </w:tcBorders>
            <w:tcW w:w="1027"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电动保洁车</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处置通</w:t>
            </w:r>
            <w:r/>
          </w:p>
        </w:tc>
      </w:tr>
      <w:tr>
        <w:trPr>
          <w:jc w:val="center"/>
          <w:trHeight w:val="94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2025年新移交标段</w:t>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486"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2085"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75"/>
              <w:ind w:firstLine="0"/>
              <w:jc w:val="cente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r>
    </w:tbl>
    <w:p>
      <w:pPr>
        <w:pStyle w:val="1075"/>
        <w:ind w:firstLine="420"/>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（一）如</w:t>
      </w:r>
      <w:r>
        <w:rPr>
          <w:rFonts w:hint="eastAsia" w:ascii="仿宋" w:hAnsi="仿宋" w:eastAsia="仿宋" w:cs="仿宋"/>
          <w:color w:val="auto"/>
          <w:sz w:val="24"/>
          <w:szCs w:val="24"/>
          <w:highlight w:val="none"/>
        </w:rPr>
        <w:t xml:space="preserve">以上机械机具设备</w:t>
      </w:r>
      <w:r>
        <w:rPr>
          <w:rFonts w:hint="eastAsia" w:ascii="仿宋" w:hAnsi="仿宋" w:eastAsia="仿宋" w:cs="仿宋"/>
          <w:color w:val="auto"/>
          <w:sz w:val="24"/>
          <w:szCs w:val="24"/>
          <w:highlight w:val="none"/>
          <w:lang w:val="en-US" w:eastAsia="zh-CN"/>
        </w:rPr>
        <w:t xml:space="preserve">为自有的，</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en-US" w:eastAsia="zh-CN"/>
        </w:rPr>
        <w:t xml:space="preserve">提供设备的</w:t>
      </w:r>
      <w:r>
        <w:rPr>
          <w:rFonts w:hint="eastAsia" w:ascii="仿宋" w:hAnsi="仿宋" w:eastAsia="仿宋" w:cs="仿宋"/>
          <w:color w:val="auto"/>
          <w:sz w:val="24"/>
          <w:szCs w:val="24"/>
          <w:highlight w:val="none"/>
        </w:rPr>
        <w:t xml:space="preserve">采购发票、记账凭证等扫描件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其中，水车等机动车辆还需提供车辆行驶证、车辆保险等证件资料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（二）如</w:t>
      </w:r>
      <w:r>
        <w:rPr>
          <w:rFonts w:hint="eastAsia" w:ascii="仿宋" w:hAnsi="仿宋" w:eastAsia="仿宋" w:cs="仿宋"/>
          <w:color w:val="auto"/>
          <w:sz w:val="24"/>
          <w:szCs w:val="24"/>
          <w:highlight w:val="none"/>
        </w:rPr>
        <w:t xml:space="preserve">以上机械机具设备</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rPr>
        <w:t xml:space="preserve">租赁的，除租赁合同扫描件外，还需要</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水车等机动车辆还需提供车辆行驶证、车辆保险等证件资料</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扫描件。</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注：不足需再配置的，除提供现有设备的</w:t>
      </w:r>
      <w:r>
        <w:rPr>
          <w:rFonts w:hint="eastAsia" w:ascii="仿宋" w:hAnsi="仿宋" w:eastAsia="仿宋" w:cs="仿宋"/>
          <w:color w:val="auto"/>
          <w:sz w:val="24"/>
          <w:szCs w:val="24"/>
          <w:highlight w:val="none"/>
        </w:rPr>
        <w:t xml:space="preserve">采购发票、记账凭证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租赁合同等扫描件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其中，</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rPr>
        <w:t xml:space="preserve">水车等机动车辆还需提供车辆行驶证、车辆保险等证件资料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外还应提供配备</w:t>
      </w:r>
      <w:r>
        <w:rPr>
          <w:rFonts w:hint="eastAsia" w:ascii="仿宋" w:hAnsi="仿宋" w:eastAsia="仿宋" w:cs="仿宋"/>
          <w:color w:val="auto"/>
          <w:sz w:val="24"/>
          <w:szCs w:val="24"/>
          <w:highlight w:val="none"/>
        </w:rPr>
        <w:t xml:space="preserve">承诺书（含拟采购</w:t>
      </w:r>
      <w:r>
        <w:rPr>
          <w:rFonts w:hint="eastAsia" w:ascii="仿宋" w:hAnsi="仿宋" w:eastAsia="仿宋" w:cs="仿宋"/>
          <w:color w:val="auto"/>
          <w:sz w:val="24"/>
          <w:szCs w:val="24"/>
          <w:highlight w:val="none"/>
          <w:lang w:eastAsia="zh-CN"/>
        </w:rPr>
        <w:t xml:space="preserve">（租赁）</w:t>
      </w:r>
      <w:r>
        <w:rPr>
          <w:rFonts w:hint="eastAsia" w:ascii="仿宋" w:hAnsi="仿宋" w:eastAsia="仿宋" w:cs="仿宋"/>
          <w:color w:val="auto"/>
          <w:sz w:val="24"/>
          <w:szCs w:val="24"/>
          <w:highlight w:val="none"/>
        </w:rPr>
        <w:t xml:space="preserve">的机械机具设备名称型号等）。</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（三）电动保洁车需符合国标，规范上牌，办理备案编号及车辆注册登记；驾乘人员需办理-驾证（D证），按照机动车实行统一管理。</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（四）供应商要严格按照《中华人民共和国国家标准》（GB5768.4-2017）中道路交通标志和标线第4部分：作业区内容要求，配备绿化养护管理作业相应道路安全防护设施。</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六、质量与考核要求</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以徐州市现行的绿化养护管理相关的法律法规、规范标准、办法文件等。</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、验收标准（验收要求、验收标准和程序）要求</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见磋商文件第十章《拟签订的合同文本》</w:t>
      </w:r>
      <w:r>
        <w:rPr>
          <w:rFonts w:hint="eastAsia" w:ascii="仿宋" w:hAnsi="仿宋" w:eastAsia="仿宋" w:cs="仿宋"/>
          <w:color w:val="auto"/>
          <w:sz w:val="24"/>
          <w:szCs w:val="24"/>
          <w:highlight w:val="none"/>
        </w:rPr>
        <w:t xml:space="preserve">第十条 考核验收标准</w:t>
      </w:r>
      <w:r>
        <w:rPr>
          <w:rFonts w:hint="eastAsia" w:ascii="仿宋" w:hAnsi="仿宋" w:eastAsia="仿宋" w:cs="仿宋"/>
          <w:color w:val="auto"/>
          <w:sz w:val="24"/>
          <w:szCs w:val="24"/>
          <w:highlight w:val="none"/>
          <w:lang w:val="en-US" w:eastAsia="zh-CN"/>
        </w:rPr>
        <w:t xml:space="preserve">。</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、其他要求：见</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文件</w:t>
      </w:r>
      <w:r>
        <w:rPr>
          <w:rFonts w:hint="eastAsia" w:ascii="仿宋" w:hAnsi="仿宋" w:eastAsia="仿宋" w:cs="仿宋"/>
          <w:color w:val="auto"/>
          <w:sz w:val="24"/>
          <w:szCs w:val="24"/>
          <w:highlight w:val="none"/>
          <w:lang w:val="en-US" w:eastAsia="zh-CN"/>
        </w:rPr>
        <w:t xml:space="preserve">第十章《拟签订的合同文本》</w:t>
      </w:r>
      <w:r>
        <w:rPr>
          <w:rFonts w:hint="eastAsia" w:ascii="仿宋" w:hAnsi="仿宋" w:eastAsia="仿宋" w:cs="仿宋"/>
          <w:color w:val="auto"/>
          <w:sz w:val="24"/>
          <w:szCs w:val="24"/>
          <w:highlight w:val="none"/>
        </w:rPr>
        <w:t xml:space="preserve">。</w:t>
      </w:r>
      <w:r/>
    </w:p>
    <w:p>
      <w:pPr>
        <w:pStyle w:val="1075"/>
        <w:ind w:firstLine="420"/>
        <w:keepLines w:val="0"/>
        <w:keepNext w:val="0"/>
        <w:pageBreakBefore w:val="0"/>
        <w:spacing w:line="312" w:lineRule="auto"/>
        <w:rPr>
          <w:rFonts w:hint="eastAsia" w:ascii="仿宋" w:hAnsi="仿宋" w:eastAsia="仿宋" w:cs="仿宋"/>
          <w:color w:val="auto"/>
          <w:sz w:val="24"/>
          <w:szCs w:val="24"/>
          <w:highlight w:val="none"/>
          <w:lang w:val="en-US" w:eastAsia="zh-CN"/>
        </w:rPr>
        <w:sectPr>
          <w:footerReference w:type="defaul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color w:val="auto"/>
          <w:sz w:val="24"/>
          <w:szCs w:val="24"/>
          <w:highlight w:val="none"/>
          <w:lang w:val="en-US" w:eastAsia="zh-CN"/>
        </w:rPr>
      </w:r>
      <w:r/>
    </w:p>
    <w:p>
      <w:pPr>
        <w:pStyle w:val="1314"/>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pPr>
      <w:r/>
      <w:bookmarkStart w:id="26" w:name="_Toc20131"/>
      <w:r/>
      <w:bookmarkStart w:id="27" w:name="_Toc25252"/>
      <w:r/>
      <w:bookmarkStart w:id="28" w:name="_Toc80122301"/>
      <w:r>
        <w:rPr>
          <w:rStyle w:val="1345"/>
          <w:rFonts w:hint="eastAsia" w:ascii="仿宋" w:hAnsi="仿宋" w:eastAsia="仿宋" w:cs="仿宋"/>
          <w:color w:val="auto"/>
          <w:sz w:val="24"/>
          <w:szCs w:val="24"/>
          <w:highlight w:val="none"/>
        </w:rPr>
        <w:t xml:space="preserve">第九章 响应文件相关格式</w:t>
      </w:r>
      <w:bookmarkEnd w:id="26"/>
      <w:r/>
      <w:bookmarkEnd w:id="27"/>
      <w:r/>
      <w:bookmarkEnd w:id="28"/>
      <w:r/>
      <w:r/>
    </w:p>
    <w:p>
      <w:pPr>
        <w:pStyle w:val="1314"/>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bookmarkStart w:id="29" w:name="_Toc8491"/>
      <w:r/>
      <w:bookmarkStart w:id="30" w:name="_Toc7129"/>
      <w:r>
        <w:rPr>
          <w:rStyle w:val="1345"/>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29"/>
      <w:r/>
      <w:bookmarkEnd w:id="30"/>
      <w:r/>
      <w:r/>
    </w:p>
    <w:p>
      <w:pPr>
        <w:pStyle w:val="1314"/>
        <w:jc w:val="center"/>
        <w:keepLines w:val="0"/>
        <w:keepNext w:val="0"/>
        <w:pageBreakBefore w:val="0"/>
        <w:spacing w:before="0" w:after="0" w:line="312"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rPr>
        <w:t xml:space="preserve">一、承诺书</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rPr>
        <w:t xml:space="preserve">二、磋商报价表</w:t>
      </w:r>
      <w:r/>
    </w:p>
    <w:p>
      <w:pPr>
        <w:pStyle w:val="1075"/>
        <w:ind w:firstLine="0"/>
        <w:keepLines w:val="0"/>
        <w:keepNext w:val="0"/>
        <w:pageBreakBefore w:val="0"/>
        <w:spacing w:line="312" w:lineRule="auto"/>
        <w:widowControl w:val="off"/>
        <w:tabs>
          <w:tab w:val="left" w:pos="2100" w:leader="none"/>
        </w:tabs>
        <w:rPr>
          <w:rStyle w:val="1345"/>
          <w:rFonts w:hint="default" w:ascii="仿宋" w:hAnsi="仿宋" w:eastAsia="仿宋" w:cs="仿宋"/>
          <w:bCs/>
          <w:color w:val="auto"/>
          <w:sz w:val="24"/>
          <w:szCs w:val="24"/>
          <w:highlight w:val="none"/>
          <w:lang w:val="en-US" w:eastAsia="zh-CN"/>
        </w:rPr>
      </w:pPr>
      <w:r>
        <w:rPr>
          <w:rStyle w:val="1345"/>
          <w:rFonts w:hint="eastAsia" w:ascii="仿宋" w:hAnsi="仿宋" w:eastAsia="仿宋" w:cs="仿宋"/>
          <w:bCs/>
          <w:color w:val="auto"/>
          <w:sz w:val="24"/>
          <w:szCs w:val="24"/>
          <w:highlight w:val="none"/>
        </w:rPr>
        <w:t xml:space="preserve">三、</w:t>
      </w:r>
      <w:r>
        <w:rPr>
          <w:rStyle w:val="1345"/>
          <w:rFonts w:hint="eastAsia" w:ascii="仿宋" w:hAnsi="仿宋" w:eastAsia="仿宋" w:cs="仿宋"/>
          <w:bCs/>
          <w:color w:val="auto"/>
          <w:sz w:val="24"/>
          <w:szCs w:val="24"/>
          <w:highlight w:val="none"/>
          <w:lang w:val="en-US" w:eastAsia="zh-CN"/>
        </w:rPr>
        <w:t xml:space="preserve">分项价格表</w:t>
      </w:r>
      <w:r/>
    </w:p>
    <w:p>
      <w:pPr>
        <w:pStyle w:val="1075"/>
        <w:ind w:firstLine="0"/>
        <w:keepLines w:val="0"/>
        <w:keepNext w:val="0"/>
        <w:pageBreakBefore w:val="0"/>
        <w:spacing w:line="312" w:lineRule="auto"/>
        <w:widowControl w:val="off"/>
        <w:tabs>
          <w:tab w:val="left" w:pos="2100" w:leader="none"/>
        </w:tabs>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四、</w:t>
      </w:r>
      <w:r>
        <w:rPr>
          <w:rStyle w:val="1345"/>
          <w:rFonts w:hint="eastAsia" w:ascii="仿宋" w:hAnsi="仿宋" w:eastAsia="仿宋" w:cs="仿宋"/>
          <w:bCs/>
          <w:color w:val="auto"/>
          <w:sz w:val="24"/>
          <w:szCs w:val="24"/>
          <w:highlight w:val="none"/>
        </w:rPr>
        <w:t xml:space="preserve">偏离表</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五</w:t>
      </w:r>
      <w:r>
        <w:rPr>
          <w:rStyle w:val="1345"/>
          <w:rFonts w:hint="eastAsia" w:ascii="仿宋" w:hAnsi="仿宋" w:eastAsia="仿宋" w:cs="仿宋"/>
          <w:bCs/>
          <w:color w:val="auto"/>
          <w:sz w:val="24"/>
          <w:szCs w:val="24"/>
          <w:highlight w:val="none"/>
        </w:rPr>
        <w:t xml:space="preserve">、授权委托书</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六</w:t>
      </w:r>
      <w:r>
        <w:rPr>
          <w:rStyle w:val="1345"/>
          <w:rFonts w:hint="eastAsia" w:ascii="仿宋" w:hAnsi="仿宋" w:eastAsia="仿宋" w:cs="仿宋"/>
          <w:bCs/>
          <w:color w:val="auto"/>
          <w:sz w:val="24"/>
          <w:szCs w:val="24"/>
          <w:highlight w:val="none"/>
        </w:rPr>
        <w:t xml:space="preserve">、中小企业声明函</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七</w:t>
      </w:r>
      <w:r>
        <w:rPr>
          <w:rStyle w:val="1345"/>
          <w:rFonts w:hint="eastAsia" w:ascii="仿宋" w:hAnsi="仿宋" w:eastAsia="仿宋" w:cs="仿宋"/>
          <w:bCs/>
          <w:color w:val="auto"/>
          <w:sz w:val="24"/>
          <w:szCs w:val="24"/>
          <w:highlight w:val="none"/>
        </w:rPr>
        <w:t xml:space="preserve">、残疾人福利性单位声明函</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八</w:t>
      </w:r>
      <w:r>
        <w:rPr>
          <w:rStyle w:val="1345"/>
          <w:rFonts w:hint="eastAsia" w:ascii="仿宋" w:hAnsi="仿宋" w:eastAsia="仿宋" w:cs="仿宋"/>
          <w:bCs/>
          <w:color w:val="auto"/>
          <w:sz w:val="24"/>
          <w:szCs w:val="24"/>
          <w:highlight w:val="none"/>
        </w:rPr>
        <w:t xml:space="preserve">、供应商参加政府采购活动前3年内在经营活动中没有重大违法记录的书面声明</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九</w:t>
      </w:r>
      <w:r>
        <w:rPr>
          <w:rStyle w:val="1345"/>
          <w:rFonts w:hint="eastAsia" w:ascii="仿宋" w:hAnsi="仿宋" w:eastAsia="仿宋" w:cs="仿宋"/>
          <w:bCs/>
          <w:color w:val="auto"/>
          <w:sz w:val="24"/>
          <w:szCs w:val="24"/>
          <w:highlight w:val="none"/>
        </w:rPr>
        <w:t xml:space="preserve">、具备履行合同所必需的设备和专业技术能力的书面声明</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十</w:t>
      </w:r>
      <w:r>
        <w:rPr>
          <w:rStyle w:val="1345"/>
          <w:rFonts w:hint="eastAsia" w:ascii="仿宋" w:hAnsi="仿宋" w:eastAsia="仿宋" w:cs="仿宋"/>
          <w:bCs/>
          <w:color w:val="auto"/>
          <w:sz w:val="24"/>
          <w:szCs w:val="24"/>
          <w:highlight w:val="none"/>
        </w:rPr>
        <w:t xml:space="preserve">、</w:t>
      </w:r>
      <w:r>
        <w:rPr>
          <w:rStyle w:val="1345"/>
          <w:rFonts w:hint="eastAsia" w:ascii="仿宋" w:hAnsi="仿宋" w:eastAsia="仿宋" w:cs="仿宋"/>
          <w:bCs/>
          <w:color w:val="auto"/>
          <w:sz w:val="24"/>
          <w:szCs w:val="24"/>
          <w:highlight w:val="none"/>
          <w:lang w:val="en-US" w:eastAsia="zh-CN"/>
        </w:rPr>
        <w:t xml:space="preserve">供应商</w:t>
      </w:r>
      <w:r>
        <w:rPr>
          <w:rStyle w:val="1345"/>
          <w:rFonts w:hint="eastAsia" w:ascii="仿宋" w:hAnsi="仿宋" w:eastAsia="仿宋" w:cs="仿宋"/>
          <w:bCs/>
          <w:color w:val="auto"/>
          <w:sz w:val="24"/>
          <w:szCs w:val="24"/>
          <w:highlight w:val="none"/>
        </w:rPr>
        <w:t xml:space="preserve">相关承诺</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rPr>
        <w:t xml:space="preserve">十</w:t>
      </w:r>
      <w:r>
        <w:rPr>
          <w:rStyle w:val="1345"/>
          <w:rFonts w:hint="eastAsia" w:ascii="仿宋" w:hAnsi="仿宋" w:eastAsia="仿宋" w:cs="仿宋"/>
          <w:bCs/>
          <w:color w:val="auto"/>
          <w:sz w:val="24"/>
          <w:szCs w:val="24"/>
          <w:highlight w:val="none"/>
          <w:lang w:val="en-US" w:eastAsia="zh-CN"/>
        </w:rPr>
        <w:t xml:space="preserve">一</w:t>
      </w:r>
      <w:r>
        <w:rPr>
          <w:rStyle w:val="1345"/>
          <w:rFonts w:hint="eastAsia" w:ascii="仿宋" w:hAnsi="仿宋" w:eastAsia="仿宋" w:cs="仿宋"/>
          <w:bCs/>
          <w:color w:val="auto"/>
          <w:sz w:val="24"/>
          <w:szCs w:val="24"/>
          <w:highlight w:val="none"/>
        </w:rPr>
        <w:t xml:space="preserve">、</w:t>
      </w:r>
      <w:r>
        <w:rPr>
          <w:rStyle w:val="1345"/>
          <w:rFonts w:hint="eastAsia" w:ascii="仿宋" w:hAnsi="仿宋" w:eastAsia="仿宋" w:cs="仿宋"/>
          <w:bCs/>
          <w:color w:val="auto"/>
          <w:sz w:val="24"/>
          <w:szCs w:val="24"/>
          <w:highlight w:val="none"/>
          <w:lang w:val="en-US" w:eastAsia="zh-CN"/>
        </w:rPr>
        <w:t xml:space="preserve">供应商</w:t>
      </w:r>
      <w:r>
        <w:rPr>
          <w:rStyle w:val="1345"/>
          <w:rFonts w:hint="eastAsia" w:ascii="仿宋" w:hAnsi="仿宋" w:eastAsia="仿宋" w:cs="仿宋"/>
          <w:bCs/>
          <w:color w:val="auto"/>
          <w:sz w:val="24"/>
          <w:szCs w:val="24"/>
          <w:highlight w:val="none"/>
        </w:rPr>
        <w:t xml:space="preserve">书面声明</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rPr>
        <w:t xml:space="preserve">十</w:t>
      </w:r>
      <w:r>
        <w:rPr>
          <w:rStyle w:val="1345"/>
          <w:rFonts w:hint="eastAsia" w:ascii="仿宋" w:hAnsi="仿宋" w:eastAsia="仿宋" w:cs="仿宋"/>
          <w:bCs/>
          <w:color w:val="auto"/>
          <w:sz w:val="24"/>
          <w:szCs w:val="24"/>
          <w:highlight w:val="none"/>
          <w:lang w:val="en-US" w:eastAsia="zh-CN"/>
        </w:rPr>
        <w:t xml:space="preserve">二</w:t>
      </w:r>
      <w:r>
        <w:rPr>
          <w:rStyle w:val="1345"/>
          <w:rFonts w:hint="eastAsia" w:ascii="仿宋" w:hAnsi="仿宋" w:eastAsia="仿宋" w:cs="仿宋"/>
          <w:bCs/>
          <w:color w:val="auto"/>
          <w:sz w:val="24"/>
          <w:szCs w:val="24"/>
          <w:highlight w:val="none"/>
        </w:rPr>
        <w:t xml:space="preserve">、项目总负责人简历表</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lang w:val="en-US" w:eastAsia="zh-CN"/>
        </w:rPr>
      </w:pPr>
      <w:r>
        <w:rPr>
          <w:rStyle w:val="1345"/>
          <w:rFonts w:hint="eastAsia" w:ascii="仿宋" w:hAnsi="仿宋" w:eastAsia="仿宋" w:cs="仿宋"/>
          <w:bCs/>
          <w:color w:val="auto"/>
          <w:sz w:val="24"/>
          <w:szCs w:val="24"/>
          <w:highlight w:val="none"/>
          <w:lang w:val="en-US" w:eastAsia="zh-CN"/>
        </w:rPr>
        <w:t xml:space="preserve">十三、1工作人员配备要求</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lang w:val="en-US" w:eastAsia="zh-CN"/>
        </w:rPr>
      </w:pPr>
      <w:r>
        <w:rPr>
          <w:rStyle w:val="1345"/>
          <w:rFonts w:hint="eastAsia" w:ascii="仿宋" w:hAnsi="仿宋" w:eastAsia="仿宋" w:cs="仿宋"/>
          <w:bCs/>
          <w:color w:val="auto"/>
          <w:sz w:val="24"/>
          <w:szCs w:val="24"/>
          <w:highlight w:val="none"/>
          <w:lang w:val="en-US" w:eastAsia="zh-CN"/>
        </w:rPr>
        <w:t xml:space="preserve">十三、2供应商对“工作人员配备要求”的承诺</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lang w:val="en-US" w:eastAsia="zh-CN"/>
        </w:rPr>
      </w:pPr>
      <w:r>
        <w:rPr>
          <w:rStyle w:val="1345"/>
          <w:rFonts w:hint="eastAsia" w:ascii="仿宋" w:hAnsi="仿宋" w:eastAsia="仿宋" w:cs="仿宋"/>
          <w:bCs/>
          <w:color w:val="auto"/>
          <w:sz w:val="24"/>
          <w:szCs w:val="24"/>
          <w:highlight w:val="none"/>
          <w:lang w:val="en-US" w:eastAsia="zh-CN"/>
        </w:rPr>
        <w:t xml:space="preserve">十四、供应商对“养护管理机械机具设备配置要求”的承诺</w:t>
      </w:r>
      <w:r/>
    </w:p>
    <w:p>
      <w:pPr>
        <w:pStyle w:val="1075"/>
        <w:ind w:firstLine="0"/>
        <w:keepLines w:val="0"/>
        <w:keepNext w:val="0"/>
        <w:pageBreakBefore w:val="0"/>
        <w:spacing w:line="312" w:lineRule="auto"/>
        <w:widowControl w:val="off"/>
        <w:rPr>
          <w:rStyle w:val="1345"/>
          <w:rFonts w:hint="eastAsia" w:ascii="仿宋" w:hAnsi="仿宋" w:eastAsia="仿宋" w:cs="仿宋"/>
          <w:bCs/>
          <w:color w:val="auto"/>
          <w:sz w:val="24"/>
          <w:szCs w:val="24"/>
          <w:highlight w:val="none"/>
        </w:rPr>
      </w:pPr>
      <w:r>
        <w:rPr>
          <w:rStyle w:val="1345"/>
          <w:rFonts w:hint="eastAsia" w:ascii="仿宋" w:hAnsi="仿宋" w:eastAsia="仿宋" w:cs="仿宋"/>
          <w:bCs/>
          <w:color w:val="auto"/>
          <w:sz w:val="24"/>
          <w:szCs w:val="24"/>
          <w:highlight w:val="none"/>
          <w:lang w:val="en-US" w:eastAsia="zh-CN"/>
        </w:rPr>
        <w:t xml:space="preserve">十五、预付款保函支付条款模板</w:t>
      </w:r>
      <w:r/>
    </w:p>
    <w:p>
      <w:pPr>
        <w:pStyle w:val="1437"/>
        <w:ind w:left="0" w:right="0" w:firstLine="0"/>
        <w:keepLines w:val="0"/>
        <w:keepNext w:val="0"/>
        <w:pageBreakBefore w:val="0"/>
        <w:spacing w:line="312" w:lineRule="auto"/>
        <w:widowControl w:val="off"/>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r>
      <w:r/>
    </w:p>
    <w:p>
      <w:pPr>
        <w:pStyle w:val="1437"/>
        <w:ind w:left="0" w:right="0" w:firstLine="0"/>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37"/>
        <w:ind w:left="0" w:right="0" w:firstLine="0"/>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37"/>
        <w:ind w:left="0" w:right="0" w:firstLine="0"/>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37"/>
        <w:ind w:left="0" w:right="0" w:firstLine="0"/>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315"/>
        <w:jc w:val="center"/>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br w:type="page" w:clear="all"/>
      </w:r>
      <w:bookmarkStart w:id="31" w:name="_Toc193"/>
      <w:r/>
      <w:bookmarkStart w:id="32" w:name="_Toc6721"/>
      <w:r/>
      <w:bookmarkStart w:id="33" w:name="_Toc80122302"/>
      <w:r>
        <w:rPr>
          <w:rStyle w:val="1345"/>
          <w:rFonts w:hint="eastAsia" w:ascii="仿宋" w:hAnsi="仿宋" w:eastAsia="仿宋" w:cs="仿宋"/>
          <w:color w:val="auto"/>
          <w:sz w:val="24"/>
          <w:szCs w:val="24"/>
          <w:highlight w:val="none"/>
        </w:rPr>
        <w:t xml:space="preserve">一、承诺书</w:t>
      </w:r>
      <w:bookmarkEnd w:id="31"/>
      <w:r/>
      <w:bookmarkEnd w:id="32"/>
      <w:r/>
      <w:bookmarkEnd w:id="33"/>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致</w:t>
      </w:r>
      <w:r>
        <w:rPr>
          <w:rStyle w:val="1345"/>
          <w:rFonts w:hint="eastAsia" w:ascii="仿宋" w:hAnsi="仿宋" w:eastAsia="仿宋" w:cs="仿宋"/>
          <w:color w:val="auto"/>
          <w:sz w:val="24"/>
          <w:szCs w:val="24"/>
          <w:highlight w:val="none"/>
          <w:u w:val="single"/>
        </w:rPr>
        <w:t xml:space="preserve">江苏科建工程项目管理有限公司</w:t>
      </w:r>
      <w:r>
        <w:rPr>
          <w:rStyle w:val="1345"/>
          <w:rFonts w:hint="eastAsia" w:ascii="仿宋" w:hAnsi="仿宋" w:eastAsia="仿宋" w:cs="仿宋"/>
          <w:color w:val="auto"/>
          <w:sz w:val="24"/>
          <w:szCs w:val="24"/>
          <w:highlight w:val="none"/>
        </w:rPr>
        <w:t xml:space="preserve">：</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根据贵方《磋商文件》（项目编号：</w:t>
      </w:r>
      <w:r>
        <w:rPr>
          <w:rStyle w:val="1345"/>
          <w:rFonts w:hint="eastAsia" w:ascii="仿宋" w:hAnsi="仿宋" w:eastAsia="仿宋" w:cs="仿宋"/>
          <w:color w:val="auto"/>
          <w:sz w:val="24"/>
          <w:szCs w:val="24"/>
          <w:highlight w:val="none"/>
          <w:lang w:eastAsia="zh-CN"/>
        </w:rPr>
        <w:t xml:space="preserve">JSZC-320300-JSKJ-C2025-0066</w:t>
      </w:r>
      <w:r>
        <w:rPr>
          <w:rStyle w:val="1345"/>
          <w:rFonts w:hint="eastAsia" w:ascii="仿宋" w:hAnsi="仿宋" w:eastAsia="仿宋" w:cs="仿宋"/>
          <w:color w:val="auto"/>
          <w:sz w:val="24"/>
          <w:szCs w:val="24"/>
          <w:highlight w:val="none"/>
        </w:rPr>
        <w:t xml:space="preserve">）要求，本供应商正式提交以下首次响应文件。</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345"/>
          <w:rFonts w:hint="eastAsia" w:ascii="仿宋" w:hAnsi="仿宋" w:eastAsia="仿宋" w:cs="仿宋"/>
          <w:color w:val="auto"/>
          <w:sz w:val="24"/>
          <w:szCs w:val="24"/>
          <w:highlight w:val="none"/>
        </w:rPr>
        <w:t xml:space="preserve">（1）承诺书； </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（2）磋商报价表； </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（3）偏离表；</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（4）磋商文件要求提供的其他响应文件。</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供应商兹宣布同意如下: </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5"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345"/>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075"/>
        <w:ind w:firstLine="480"/>
        <w:jc w:val="left"/>
        <w:pageBreakBefore w:val="0"/>
        <w:spacing w:line="312" w:lineRule="auto"/>
        <w:widowControl w:val="off"/>
        <w:tabs>
          <w:tab w:val="right" w:pos="4153" w:leader="none"/>
          <w:tab w:val="left" w:pos="8306" w:leader="underscore"/>
        </w:tabs>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5" o:spid="_x0000_s15"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6" o:spid="_x0000_s16"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345"/>
          <w:rFonts w:hint="eastAsia" w:ascii="仿宋" w:hAnsi="仿宋" w:eastAsia="仿宋" w:cs="仿宋"/>
          <w:color w:val="auto"/>
          <w:sz w:val="24"/>
          <w:szCs w:val="24"/>
          <w:highlight w:val="none"/>
        </w:rPr>
        <w:t xml:space="preserve">二、保证所提供的响应文件及所有材料的真实、合法、有效，并对其负责。</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四、所供货物保证符合国家有关产品质量、性能和安全标准，无权利瑕疵。</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五、报价有效期为30个工作日。</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六、同意向贵方提供贵方可能要求的与本次磋商采购有关的任何证据或资料。</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七、完全理解贵方不一定要接受最低的报价或收到的任何报价。</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八、江苏科建工程项目管理有限公司有权将我单位本项目的《磋商报价表》和《分项价格表》予以公示，公示的方式由江苏科建工程项目管理有限公司确定。</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九、采购人有权对供应商的响应文件的真实性</w:t>
      </w:r>
      <w:r>
        <w:rPr>
          <w:rStyle w:val="1345"/>
          <w:rFonts w:hint="eastAsia" w:ascii="仿宋" w:hAnsi="仿宋" w:eastAsia="仿宋" w:cs="仿宋"/>
          <w:bCs/>
          <w:color w:val="auto"/>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45"/>
          <w:rFonts w:hint="eastAsia" w:ascii="仿宋" w:hAnsi="仿宋" w:eastAsia="仿宋" w:cs="仿宋"/>
          <w:color w:val="auto"/>
          <w:sz w:val="24"/>
          <w:szCs w:val="24"/>
          <w:highlight w:val="none"/>
        </w:rPr>
        <w:t xml:space="preserve">。</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十、供应商同意按照磋商文件的有关规定支付相关代理服务费。 </w:t>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pStyle w:val="1075"/>
        <w:jc w:val="both"/>
        <w:pageBreakBefore w:val="0"/>
        <w:spacing w:line="312" w:lineRule="auto"/>
        <w:widowControl w:val="off"/>
        <w:rPr>
          <w:rFonts w:hint="eastAsia" w:ascii="仿宋" w:hAnsi="仿宋" w:eastAsia="仿宋" w:cs="仿宋"/>
          <w:color w:val="auto"/>
          <w:sz w:val="24"/>
          <w:highlight w:val="none"/>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w:t>
      </w:r>
      <w:r/>
    </w:p>
    <w:p>
      <w:pPr>
        <w:pStyle w:val="1075"/>
        <w:jc w:val="center"/>
        <w:pageBreakBefore w:val="0"/>
        <w:spacing w:line="312" w:lineRule="auto"/>
        <w:widowControl w:val="off"/>
        <w:rPr>
          <w:rStyle w:val="1345"/>
          <w:rFonts w:hint="eastAsia"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rPr>
        <w:br w:type="page" w:clear="all"/>
      </w:r>
      <w:bookmarkStart w:id="34" w:name="_Toc80122303"/>
      <w:r/>
      <w:bookmarkStart w:id="35" w:name="_Toc18311"/>
      <w:r/>
      <w:bookmarkStart w:id="36" w:name="_Toc25312"/>
      <w:r>
        <w:rPr>
          <w:rStyle w:val="1345"/>
          <w:rFonts w:hint="eastAsia" w:ascii="仿宋" w:hAnsi="仿宋" w:eastAsia="仿宋" w:cs="仿宋"/>
          <w:b/>
          <w:bCs/>
          <w:color w:val="auto"/>
          <w:sz w:val="24"/>
          <w:szCs w:val="24"/>
          <w:highlight w:val="none"/>
        </w:rPr>
        <w:t xml:space="preserve">二、磋商报价表</w:t>
      </w:r>
      <w:bookmarkEnd w:id="34"/>
      <w:r/>
      <w:bookmarkEnd w:id="35"/>
      <w:r/>
      <w:bookmarkEnd w:id="36"/>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首次  □终次报价）                              </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lang w:val="en-US" w:eastAsia="zh-CN"/>
        </w:rPr>
      </w:pPr>
      <w:r>
        <w:rPr>
          <w:rStyle w:val="1345"/>
          <w:rFonts w:hint="eastAsia" w:ascii="仿宋" w:hAnsi="仿宋" w:eastAsia="仿宋" w:cs="仿宋"/>
          <w:color w:val="auto"/>
          <w:sz w:val="24"/>
          <w:szCs w:val="24"/>
          <w:highlight w:val="none"/>
        </w:rPr>
        <w:t xml:space="preserve">项目编号：</w:t>
      </w:r>
      <w:r>
        <w:rPr>
          <w:rStyle w:val="1345"/>
          <w:rFonts w:hint="eastAsia" w:ascii="仿宋" w:hAnsi="仿宋" w:eastAsia="仿宋" w:cs="仿宋"/>
          <w:color w:val="auto"/>
          <w:sz w:val="24"/>
          <w:szCs w:val="24"/>
          <w:highlight w:val="none"/>
          <w:lang w:eastAsia="zh-CN"/>
        </w:rPr>
        <w:t xml:space="preserve">JSZC-320300-JSKJ-C2025-0066</w:t>
      </w:r>
      <w:r>
        <w:rPr>
          <w:rStyle w:val="1345"/>
          <w:rFonts w:hint="eastAsia" w:ascii="仿宋" w:hAnsi="仿宋" w:eastAsia="仿宋" w:cs="仿宋"/>
          <w:color w:val="auto"/>
          <w:sz w:val="24"/>
          <w:szCs w:val="24"/>
          <w:highlight w:val="none"/>
          <w:lang w:val="en-US" w:eastAsia="zh-CN"/>
        </w:rPr>
        <w:t xml:space="preserve">                               </w:t>
      </w:r>
      <w:r>
        <w:rPr>
          <w:rStyle w:val="1345"/>
          <w:rFonts w:hint="eastAsia" w:ascii="仿宋" w:hAnsi="仿宋" w:eastAsia="仿宋" w:cs="仿宋"/>
          <w:color w:val="auto"/>
          <w:sz w:val="24"/>
          <w:szCs w:val="24"/>
          <w:highlight w:val="none"/>
        </w:rPr>
        <w:t xml:space="preserve">单位：</w:t>
      </w:r>
      <w:r>
        <w:rPr>
          <w:rStyle w:val="1345"/>
          <w:rFonts w:hint="eastAsia" w:ascii="仿宋" w:hAnsi="仿宋" w:eastAsia="仿宋" w:cs="仿宋"/>
          <w:color w:val="auto"/>
          <w:sz w:val="24"/>
          <w:szCs w:val="24"/>
          <w:highlight w:val="none"/>
          <w:lang w:val="en-US" w:eastAsia="zh-CN"/>
        </w:rPr>
        <w:t xml:space="preserve">元</w:t>
      </w:r>
      <w:r/>
    </w:p>
    <w:tbl>
      <w:tblPr>
        <w:tblStyle w:val="1057"/>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498"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项目内容</w:t>
            </w:r>
            <w:r/>
          </w:p>
        </w:tc>
        <w:tc>
          <w:tcPr>
            <w:tcW w:w="2382"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总价（小写）</w:t>
            </w:r>
            <w:r/>
          </w:p>
        </w:tc>
        <w:tc>
          <w:tcPr>
            <w:tcW w:w="2382"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1096"/>
        </w:trPr>
        <w:tc>
          <w:tcPr>
            <w:tcW w:w="2486" w:type="dxa"/>
            <w:vAlign w:val="center"/>
            <w:textDirection w:val="lrTb"/>
            <w:noWrap w:val="false"/>
          </w:tcPr>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2025年徐州市新城区新移交市管道路绿地养护管理</w:t>
            </w:r>
            <w:r/>
          </w:p>
        </w:tc>
        <w:tc>
          <w:tcPr>
            <w:tcW w:w="2498" w:type="dxa"/>
            <w:vAlign w:val="center"/>
            <w:textDirection w:val="lrTb"/>
            <w:noWrap w:val="false"/>
          </w:tcPr>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详见响应文件</w:t>
            </w:r>
            <w:r/>
          </w:p>
        </w:tc>
        <w:tc>
          <w:tcPr>
            <w:tcW w:w="2382" w:type="dxa"/>
            <w:vAlign w:val="center"/>
            <w:textDirection w:val="lrTb"/>
            <w:noWrap w:val="false"/>
          </w:tcPr>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Align w:val="center"/>
            <w:vMerge w:val="restart"/>
            <w:textDirection w:val="lrTb"/>
            <w:noWrap w:val="false"/>
          </w:tcPr>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报价为</w:t>
            </w:r>
            <w:r/>
          </w:p>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《分项价格表》</w:t>
            </w:r>
            <w:r/>
          </w:p>
          <w:p>
            <w:pPr>
              <w:pStyle w:val="1075"/>
              <w:jc w:val="center"/>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的总价</w:t>
            </w:r>
            <w:r/>
          </w:p>
        </w:tc>
      </w:tr>
      <w:tr>
        <w:trPr>
          <w:jc w:val="center"/>
          <w:trHeight w:val="1333"/>
        </w:trPr>
        <w:tc>
          <w:tcPr>
            <w:tcW w:w="2486" w:type="dxa"/>
            <w:vAlign w:val="center"/>
            <w:textDirection w:val="lrTb"/>
            <w:noWrap w:val="false"/>
          </w:tcPr>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总价（大写）：</w:t>
            </w:r>
            <w:r/>
          </w:p>
        </w:tc>
        <w:tc>
          <w:tcPr>
            <w:gridSpan w:val="2"/>
            <w:tcW w:w="4880" w:type="dxa"/>
            <w:vAlign w:val="center"/>
            <w:textDirection w:val="lrTb"/>
            <w:noWrap w:val="false"/>
          </w:tcPr>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382" w:type="dxa"/>
            <w:vMerge w:val="continue"/>
            <w:textDirection w:val="lrTb"/>
            <w:noWrap w:val="false"/>
          </w:tcPr>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75"/>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595"/>
        <w:ind w:left="0" w:right="0"/>
        <w:jc w:val="center"/>
        <w:keepLines w:val="0"/>
        <w:keepNext w:val="0"/>
        <w:spacing w:before="0" w:beforeAutospacing="0" w:after="0" w:afterAutospacing="0" w:line="360" w:lineRule="auto"/>
        <w:shd w:val="clear" w:color="auto" w:fill="auto"/>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rPr>
        <w:t xml:space="preserve">（政府采购客户端工具输入报价自动生成，加盖电子签章上传）</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供应商承诺：  1、本报价（总价）为供应商本企业提供的</w:t>
      </w:r>
      <w:r>
        <w:rPr>
          <w:rStyle w:val="1345"/>
          <w:rFonts w:hint="eastAsia" w:ascii="仿宋" w:hAnsi="仿宋" w:eastAsia="仿宋" w:cs="仿宋"/>
          <w:color w:val="auto"/>
          <w:sz w:val="24"/>
          <w:szCs w:val="24"/>
          <w:highlight w:val="none"/>
          <w:lang w:val="en-US" w:eastAsia="zh-CN"/>
        </w:rPr>
        <w:t xml:space="preserve">服务</w:t>
      </w:r>
      <w:r>
        <w:rPr>
          <w:rStyle w:val="1345"/>
          <w:rFonts w:hint="eastAsia" w:ascii="仿宋" w:hAnsi="仿宋" w:eastAsia="仿宋" w:cs="仿宋"/>
          <w:color w:val="auto"/>
          <w:sz w:val="24"/>
          <w:szCs w:val="24"/>
          <w:highlight w:val="none"/>
        </w:rPr>
        <w:t xml:space="preserve">。</w:t>
      </w:r>
      <w:r/>
    </w:p>
    <w:p>
      <w:pPr>
        <w:pStyle w:val="1075"/>
        <w:ind w:firstLine="16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报价说明：</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1、报价包括完成项目的所有费用。采购人不再支付报价以外的任何费用。</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2、报价以总价为准，大小写不一致以大写为准；</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3、偏离说明：详见《偏离表》；</w:t>
      </w:r>
      <w:r/>
    </w:p>
    <w:p>
      <w:pPr>
        <w:pStyle w:val="1076"/>
        <w:ind w:left="0" w:firstLine="480"/>
        <w:rPr>
          <w:rFonts w:hint="eastAsia"/>
          <w:color w:val="auto"/>
          <w:highlight w:val="none"/>
        </w:rPr>
      </w:pPr>
      <w:r>
        <w:rPr>
          <w:rStyle w:val="1345"/>
          <w:rFonts w:hint="eastAsia" w:ascii="仿宋" w:hAnsi="仿宋" w:eastAsia="仿宋" w:cs="仿宋"/>
          <w:color w:val="auto"/>
          <w:szCs w:val="24"/>
          <w:highlight w:val="none"/>
          <w:lang w:val="en-US" w:eastAsia="zh-CN" w:bidi="ar-SA"/>
        </w:rPr>
        <w:t xml:space="preserve">4、如最后报价未列明单价，则最后所报各项单价计算方法为：（最后报价/最初报价）* 各项最初报价的单价。</w:t>
      </w:r>
      <w:r/>
    </w:p>
    <w:p>
      <w:pPr>
        <w:pStyle w:val="1076"/>
        <w:rPr>
          <w:rFonts w:hint="eastAsia"/>
          <w:color w:val="auto"/>
          <w:highlight w:val="none"/>
        </w:rPr>
      </w:pPr>
      <w:r>
        <w:rPr>
          <w:rFonts w:hint="eastAsia"/>
          <w:color w:val="auto"/>
          <w:highlight w:val="none"/>
        </w:rPr>
      </w:r>
      <w:r/>
    </w:p>
    <w:p>
      <w:pPr>
        <w:ind w:left="0" w:right="0" w:firstLine="480"/>
        <w:jc w:val="right"/>
        <w:keepLines w:val="0"/>
        <w:keepNext w:val="0"/>
        <w:pageBreakBefore w:val="0"/>
        <w:spacing w:beforeAutospacing="0" w:afterAutospacing="0" w:line="312" w:lineRule="auto"/>
        <w:rPr>
          <w:rFonts w:hint="eastAsia" w:ascii="仿宋" w:hAnsi="仿宋" w:eastAsia="仿宋" w:cs="仿宋"/>
          <w:bCs/>
          <w:color w:val="auto"/>
          <w:sz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：（盖电子签章）</w:t>
      </w:r>
      <w:r/>
    </w:p>
    <w:p>
      <w:pPr>
        <w:ind w:left="0" w:right="0" w:firstLine="480"/>
        <w:jc w:val="center"/>
        <w:keepLines w:val="0"/>
        <w:keepNext w:val="0"/>
        <w:pageBreakBefore w:val="0"/>
        <w:spacing w:beforeAutospacing="0" w:afterAutospacing="0" w:line="312" w:lineRule="auto"/>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p>
    <w:p>
      <w:pPr>
        <w:pStyle w:val="1075"/>
        <w:ind w:firstLine="482"/>
        <w:jc w:val="right"/>
        <w:pageBreakBefore w:val="0"/>
        <w:spacing w:line="312" w:lineRule="auto"/>
        <w:widowControl w:val="off"/>
        <w:rPr>
          <w:rStyle w:val="1345"/>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12" w:lineRule="auto"/>
        <w:rPr>
          <w:rFonts w:hint="eastAsia" w:ascii="仿宋" w:hAnsi="仿宋" w:eastAsia="仿宋" w:cs="仿宋"/>
          <w:b/>
          <w:color w:val="auto"/>
          <w:sz w:val="24"/>
          <w:szCs w:val="24"/>
          <w:highlight w:val="none"/>
          <w:lang w:val="en-US" w:eastAsia="zh-CN"/>
        </w:rPr>
        <w:sectPr>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bookmarkStart w:id="37" w:name="_Toc14249"/>
      <w:r/>
      <w:bookmarkStart w:id="38" w:name="_Toc80122304"/>
      <w:r/>
      <w:r/>
    </w:p>
    <w:p>
      <w:pPr>
        <w:pStyle w:val="1315"/>
        <w:jc w:val="center"/>
        <w:keepLines w:val="0"/>
        <w:keepNext w:val="0"/>
        <w:pageBreakBefore w:val="0"/>
        <w:spacing w:before="0" w:after="0" w:line="500" w:lineRule="exact"/>
        <w:widowControl w:val="off"/>
        <w:rPr>
          <w:rFonts w:hint="eastAsia" w:ascii="仿宋" w:hAnsi="仿宋" w:eastAsia="仿宋" w:cs="仿宋"/>
          <w:bCs w:val="0"/>
          <w:color w:val="auto"/>
          <w:sz w:val="24"/>
          <w:szCs w:val="24"/>
          <w:highlight w:val="none"/>
        </w:rPr>
      </w:pPr>
      <w:r/>
      <w:bookmarkStart w:id="39" w:name="_Toc771"/>
      <w:r/>
      <w:bookmarkStart w:id="40" w:name="_Toc22792"/>
      <w:r>
        <w:rPr>
          <w:rStyle w:val="1345"/>
          <w:rFonts w:hint="eastAsia" w:ascii="仿宋" w:hAnsi="仿宋" w:eastAsia="仿宋" w:cs="仿宋"/>
          <w:color w:val="auto"/>
          <w:sz w:val="24"/>
          <w:szCs w:val="24"/>
          <w:highlight w:val="none"/>
        </w:rPr>
        <w:t xml:space="preserve">三、分项价格表</w:t>
      </w:r>
      <w:bookmarkEnd w:id="39"/>
      <w:r/>
      <w:bookmarkEnd w:id="40"/>
      <w:r/>
      <w:r/>
    </w:p>
    <w:p>
      <w:pPr>
        <w:pStyle w:val="1069"/>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69"/>
        <w:pageBreakBefore w:val="0"/>
        <w:spacing w:after="0" w:line="500" w:lineRule="exact"/>
        <w:widowControl w:val="off"/>
        <w:rPr>
          <w:rFonts w:hint="eastAsia" w:ascii="仿宋" w:hAnsi="仿宋" w:eastAsia="仿宋" w:cs="仿宋"/>
          <w:color w:val="auto"/>
          <w:sz w:val="24"/>
          <w:szCs w:val="24"/>
          <w:highlight w:val="none"/>
        </w:rPr>
      </w:pPr>
      <w:r/>
      <w:bookmarkStart w:id="41" w:name="_Hlk105167482"/>
      <w:r>
        <w:rPr>
          <w:rFonts w:hint="eastAsia" w:ascii="仿宋" w:hAnsi="仿宋" w:eastAsia="仿宋" w:cs="仿宋"/>
          <w:color w:val="auto"/>
          <w:sz w:val="24"/>
          <w:szCs w:val="24"/>
          <w:highlight w:val="none"/>
        </w:rPr>
        <w:t xml:space="preserve">（本次为  □首次  □终次报价）</w:t>
      </w:r>
      <w:bookmarkEnd w:id="41"/>
      <w:r/>
      <w:r/>
    </w:p>
    <w:p>
      <w:pPr>
        <w:pStyle w:val="1069"/>
        <w:pageBreakBefore w:val="0"/>
        <w:spacing w:after="0" w:line="500" w:lineRule="exact"/>
        <w:widowControl w:val="off"/>
        <w:rPr>
          <w:rFonts w:hint="eastAsia" w:ascii="仿宋" w:hAnsi="仿宋" w:eastAsia="仿宋" w:cs="仿宋"/>
          <w:color w:val="auto"/>
          <w:sz w:val="24"/>
          <w:szCs w:val="24"/>
          <w:highlight w:val="none"/>
          <w:lang w:eastAsia="zh-CN"/>
        </w:rPr>
      </w:pPr>
      <w:r/>
      <w:bookmarkStart w:id="42" w:name="_Hlk105167508"/>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069"/>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bookmarkEnd w:id="42"/>
      <w:r/>
      <w:r/>
    </w:p>
    <w:p>
      <w:pPr>
        <w:pStyle w:val="1069"/>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64"/>
        <w:ind w:left="0"/>
        <w:jc w:val="center"/>
        <w:pageBreakBefore w:val="0"/>
        <w:spacing w:line="500" w:lineRule="exact"/>
        <w:widowControl w:val="off"/>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格式自拟</w:t>
      </w:r>
      <w:r/>
    </w:p>
    <w:p>
      <w:pPr>
        <w:pStyle w:val="1066"/>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66"/>
        <w:ind w:firstLine="40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69"/>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75"/>
        <w:jc w:val="left"/>
        <w:pageBreakBefore w:val="0"/>
        <w:spacing w:line="500" w:lineRule="exact"/>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rPr>
        <w:t xml:space="preserve">（</w:t>
      </w:r>
      <w:r>
        <w:rPr>
          <w:rStyle w:val="1345"/>
          <w:rFonts w:hint="eastAsia" w:ascii="仿宋" w:hAnsi="仿宋" w:eastAsia="仿宋" w:cs="仿宋"/>
          <w:color w:val="auto"/>
          <w:sz w:val="24"/>
          <w:szCs w:val="24"/>
          <w:highlight w:val="none"/>
        </w:rPr>
        <w:t xml:space="preserve">电子签章</w:t>
      </w:r>
      <w:r>
        <w:rPr>
          <w:rFonts w:hint="eastAsia" w:ascii="仿宋" w:hAnsi="仿宋" w:eastAsia="仿宋" w:cs="仿宋"/>
          <w:color w:val="auto"/>
          <w:sz w:val="24"/>
          <w:szCs w:val="24"/>
          <w:highlight w:val="none"/>
        </w:rPr>
        <w:t xml:space="preserve">）</w:t>
      </w:r>
      <w:r>
        <w:rPr>
          <w:rStyle w:val="1345"/>
          <w:rFonts w:hint="eastAsia" w:ascii="仿宋" w:hAnsi="仿宋" w:eastAsia="仿宋" w:cs="仿宋"/>
          <w:color w:val="auto"/>
          <w:sz w:val="24"/>
          <w:szCs w:val="24"/>
          <w:highlight w:val="none"/>
        </w:rPr>
        <w:t xml:space="preserve">：  </w:t>
      </w:r>
      <w:r/>
    </w:p>
    <w:p>
      <w:pPr>
        <w:pStyle w:val="1075"/>
        <w:jc w:val="left"/>
        <w:pageBreakBefore w:val="0"/>
        <w:spacing w:line="500" w:lineRule="exact"/>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日期：</w:t>
      </w:r>
      <w:r/>
    </w:p>
    <w:p>
      <w:pPr>
        <w:pStyle w:val="1069"/>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69"/>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1069"/>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1069"/>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1069"/>
        <w:ind w:firstLine="480"/>
        <w:pageBreakBefore w:val="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1069"/>
        <w:ind w:firstLine="480"/>
        <w:pageBreakBefore w:val="0"/>
        <w:spacing w:after="0" w:line="500" w:lineRule="exact"/>
        <w:widowControl w:val="off"/>
        <w:rPr>
          <w:rFonts w:hint="eastAsia" w:ascii="仿宋" w:hAnsi="仿宋" w:eastAsia="仿宋" w:cs="仿宋"/>
          <w:b/>
          <w:i w:val="0"/>
          <w:iCs/>
          <w:color w:val="auto"/>
          <w:sz w:val="24"/>
          <w:szCs w:val="24"/>
          <w:highlight w:val="none"/>
          <w:u w:val="single"/>
        </w:rPr>
      </w:pPr>
      <w:r>
        <w:rPr>
          <w:rFonts w:hint="eastAsia" w:ascii="仿宋" w:hAnsi="仿宋" w:eastAsia="仿宋" w:cs="仿宋"/>
          <w:b/>
          <w:i w:val="0"/>
          <w:iCs/>
          <w:color w:val="auto"/>
          <w:sz w:val="24"/>
          <w:szCs w:val="24"/>
          <w:highlight w:val="none"/>
          <w:u w:val="single"/>
        </w:rPr>
        <w:t xml:space="preserve">采购人或采购代理机构有权将以上内容进行公示。</w:t>
      </w:r>
      <w:r/>
    </w:p>
    <w:p>
      <w:pPr>
        <w:jc w:val="center"/>
        <w:pageBreakBefore w:val="0"/>
        <w:spacing w:line="312" w:lineRule="auto"/>
        <w:rPr>
          <w:rFonts w:hint="eastAsia" w:ascii="仿宋" w:hAnsi="仿宋" w:eastAsia="仿宋" w:cs="仿宋"/>
          <w:b/>
          <w:i w:val="0"/>
          <w:iCs/>
          <w:color w:val="auto"/>
          <w:sz w:val="24"/>
          <w:szCs w:val="24"/>
          <w:highlight w:val="none"/>
          <w:lang w:val="en-US" w:eastAsia="zh-CN"/>
        </w:rPr>
        <w:sectPr>
          <w:footerReference w:type="default" r:id="rId16"/>
          <w:footnotePr/>
          <w:endnotePr/>
          <w:type w:val="nextPage"/>
          <w:pgSz w:w="11906" w:h="16838" w:orient="portrait"/>
          <w:pgMar w:top="1440" w:right="1080" w:bottom="1440" w:left="1080" w:header="851" w:footer="992" w:gutter="0"/>
          <w:pgNumType w:start="24"/>
          <w:cols w:num="1" w:sep="0" w:space="1701" w:equalWidth="1"/>
          <w:docGrid w:linePitch="360"/>
        </w:sectPr>
      </w:pPr>
      <w:r>
        <w:rPr>
          <w:rFonts w:hint="eastAsia" w:ascii="仿宋" w:hAnsi="仿宋" w:eastAsia="仿宋" w:cs="仿宋"/>
          <w:b/>
          <w:i w:val="0"/>
          <w:iCs/>
          <w:color w:val="auto"/>
          <w:sz w:val="24"/>
          <w:szCs w:val="24"/>
          <w:highlight w:val="none"/>
          <w:lang w:val="en-US" w:eastAsia="zh-CN"/>
        </w:rPr>
      </w:r>
      <w:r/>
    </w:p>
    <w:p>
      <w:pPr>
        <w:ind w:left="0" w:firstLine="0"/>
        <w:jc w:val="center"/>
        <w:pageBreakBefore w:val="0"/>
        <w:spacing w:line="312" w:lineRule="auto"/>
        <w:rPr>
          <w:rStyle w:val="1345"/>
          <w:rFonts w:hint="eastAsia" w:ascii="仿宋" w:hAnsi="仿宋" w:eastAsia="仿宋" w:cs="仿宋"/>
          <w:color w:val="auto"/>
          <w:sz w:val="24"/>
          <w:szCs w:val="24"/>
          <w:highlight w:val="none"/>
        </w:rPr>
        <w:outlineLvl w:val="1"/>
      </w:pPr>
      <w:r/>
      <w:bookmarkStart w:id="43" w:name="_Toc27536"/>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bookmarkEnd w:id="37"/>
      <w:r/>
      <w:bookmarkEnd w:id="38"/>
      <w:r/>
      <w:bookmarkStart w:id="44" w:name="_Toc9364"/>
      <w:r/>
      <w:bookmarkStart w:id="45" w:name="_Toc80122305"/>
      <w:r>
        <w:rPr>
          <w:rStyle w:val="1345"/>
          <w:rFonts w:hint="eastAsia" w:ascii="仿宋" w:hAnsi="仿宋" w:eastAsia="仿宋" w:cs="仿宋"/>
          <w:b/>
          <w:bCs/>
          <w:color w:val="auto"/>
          <w:sz w:val="24"/>
          <w:szCs w:val="24"/>
          <w:highlight w:val="none"/>
        </w:rPr>
        <w:t xml:space="preserve">偏离表</w:t>
      </w:r>
      <w:bookmarkEnd w:id="43"/>
      <w:r/>
      <w:bookmarkEnd w:id="44"/>
      <w:r/>
      <w:bookmarkEnd w:id="45"/>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lang w:eastAsia="zh-CN"/>
        </w:rPr>
      </w:pPr>
      <w:r>
        <w:rPr>
          <w:rStyle w:val="1345"/>
          <w:rFonts w:hint="eastAsia" w:ascii="仿宋" w:hAnsi="仿宋" w:eastAsia="仿宋" w:cs="仿宋"/>
          <w:color w:val="auto"/>
          <w:sz w:val="24"/>
          <w:szCs w:val="24"/>
          <w:highlight w:val="none"/>
        </w:rPr>
        <w:t xml:space="preserve">   项目名称：</w:t>
      </w:r>
      <w:r>
        <w:rPr>
          <w:rStyle w:val="1345"/>
          <w:rFonts w:hint="eastAsia" w:ascii="仿宋" w:hAnsi="仿宋" w:eastAsia="仿宋" w:cs="仿宋"/>
          <w:color w:val="auto"/>
          <w:sz w:val="24"/>
          <w:szCs w:val="24"/>
          <w:highlight w:val="none"/>
          <w:lang w:eastAsia="zh-CN"/>
        </w:rPr>
        <w:t xml:space="preserve">2025年徐州市新城区新移交市管道路绿地养护管理</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lang w:eastAsia="zh-CN"/>
        </w:rPr>
      </w:pPr>
      <w:r>
        <w:rPr>
          <w:rStyle w:val="1345"/>
          <w:rFonts w:hint="eastAsia" w:ascii="仿宋" w:hAnsi="仿宋" w:eastAsia="仿宋" w:cs="仿宋"/>
          <w:color w:val="auto"/>
          <w:sz w:val="24"/>
          <w:szCs w:val="24"/>
          <w:highlight w:val="none"/>
        </w:rPr>
        <w:t xml:space="preserve">   项目编号： </w:t>
      </w:r>
      <w:r>
        <w:rPr>
          <w:rStyle w:val="1345"/>
          <w:rFonts w:hint="eastAsia" w:ascii="仿宋" w:hAnsi="仿宋" w:eastAsia="仿宋" w:cs="仿宋"/>
          <w:color w:val="auto"/>
          <w:sz w:val="24"/>
          <w:szCs w:val="24"/>
          <w:highlight w:val="none"/>
          <w:lang w:eastAsia="zh-CN"/>
        </w:rPr>
        <w:t xml:space="preserve">JSZC-320300-JSKJ-C2025-0066</w:t>
      </w:r>
      <w:r/>
    </w:p>
    <w:tbl>
      <w:tblPr>
        <w:tblStyle w:val="1057"/>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Style w:val="1345"/>
                <w:rFonts w:hint="eastAsia" w:ascii="仿宋" w:hAnsi="仿宋" w:eastAsia="仿宋" w:cs="仿宋"/>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Style w:val="1345"/>
                <w:rFonts w:hint="eastAsia" w:ascii="仿宋" w:hAnsi="仿宋" w:eastAsia="仿宋" w:cs="仿宋"/>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Style w:val="1345"/>
                <w:rFonts w:hint="eastAsia" w:ascii="仿宋" w:hAnsi="仿宋" w:eastAsia="仿宋" w:cs="仿宋"/>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Style w:val="1345"/>
                <w:rFonts w:hint="eastAsia" w:ascii="仿宋" w:hAnsi="仿宋" w:eastAsia="仿宋" w:cs="仿宋"/>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75"/>
              <w:jc w:val="left"/>
              <w:pageBreakBefore w:val="0"/>
              <w:spacing w:line="312" w:lineRule="auto"/>
              <w:widowControl w:val="off"/>
              <w:rPr>
                <w:rStyle w:val="1345"/>
                <w:rFonts w:hint="eastAsia" w:ascii="仿宋" w:hAnsi="仿宋" w:eastAsia="仿宋" w:cs="仿宋"/>
                <w:caps/>
                <w:color w:val="auto"/>
                <w:sz w:val="24"/>
                <w:szCs w:val="24"/>
                <w:highlight w:val="none"/>
              </w:rPr>
            </w:pPr>
            <w:r>
              <w:rPr>
                <w:rStyle w:val="1345"/>
                <w:rFonts w:hint="eastAsia" w:ascii="仿宋" w:hAnsi="仿宋" w:eastAsia="仿宋" w:cs="仿宋"/>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Style w:val="1345"/>
                <w:rFonts w:hint="eastAsia" w:ascii="仿宋" w:hAnsi="仿宋" w:eastAsia="仿宋" w:cs="仿宋"/>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75"/>
              <w:jc w:val="center"/>
              <w:pageBreakBefore w:val="0"/>
              <w:spacing w:line="312" w:lineRule="auto"/>
              <w:widowControl w:val="off"/>
              <w:rPr>
                <w:rStyle w:val="1345"/>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75"/>
        <w:jc w:val="left"/>
        <w:pageBreakBefore w:val="0"/>
        <w:spacing w:line="312" w:lineRule="auto"/>
        <w:widowControl w:val="off"/>
        <w:rPr>
          <w:rStyle w:val="1345"/>
          <w:rFonts w:hint="eastAsia" w:ascii="仿宋" w:hAnsi="仿宋" w:eastAsia="仿宋" w:cs="仿宋"/>
          <w:color w:val="auto"/>
          <w:sz w:val="24"/>
          <w:szCs w:val="24"/>
          <w:highlight w:val="none"/>
          <w:u w:val="single"/>
        </w:rPr>
      </w:pPr>
      <w:r>
        <w:rPr>
          <w:rStyle w:val="1345"/>
          <w:rFonts w:hint="eastAsia" w:ascii="仿宋" w:hAnsi="仿宋" w:eastAsia="仿宋" w:cs="仿宋"/>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center"/>
        <w:keepLines w:val="0"/>
        <w:keepNext w:val="0"/>
        <w:pageBreakBefore w:val="0"/>
        <w:spacing w:beforeAutospacing="0" w:afterAutospacing="0" w:line="312" w:lineRule="auto"/>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lang w:val="en-US" w:eastAsia="zh-CN"/>
        </w:rPr>
        <w:t xml:space="preserve">                                                   </w:t>
      </w: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345"/>
          <w:rFonts w:hint="eastAsia" w:ascii="仿宋" w:hAnsi="仿宋" w:eastAsia="仿宋" w:cs="仿宋"/>
          <w:color w:val="auto"/>
          <w:sz w:val="24"/>
          <w:szCs w:val="24"/>
          <w:highlight w:val="none"/>
        </w:rPr>
        <w:t xml:space="preserve">：</w:t>
      </w:r>
      <w:r/>
    </w:p>
    <w:p>
      <w:pPr>
        <w:pStyle w:val="1075"/>
        <w:ind w:firstLine="39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w:t>
      </w:r>
      <w:r/>
    </w:p>
    <w:p>
      <w:pPr>
        <w:pStyle w:val="1075"/>
        <w:ind w:firstLine="7164"/>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日期：</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15"/>
        <w:jc w:val="center"/>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bookmarkStart w:id="46" w:name="_Toc80122306"/>
      <w:r>
        <w:rPr>
          <w:rStyle w:val="1345"/>
          <w:rFonts w:hint="eastAsia" w:ascii="仿宋" w:hAnsi="仿宋" w:eastAsia="仿宋" w:cs="仿宋"/>
          <w:color w:val="auto"/>
          <w:sz w:val="24"/>
          <w:szCs w:val="24"/>
          <w:highlight w:val="none"/>
        </w:rPr>
        <w:br w:type="page" w:clear="all"/>
      </w:r>
      <w:bookmarkStart w:id="47" w:name="_Toc7832"/>
      <w:r/>
      <w:bookmarkStart w:id="48" w:name="_Toc16794"/>
      <w:r>
        <w:rPr>
          <w:rStyle w:val="1345"/>
          <w:rFonts w:hint="eastAsia" w:ascii="仿宋" w:hAnsi="仿宋" w:eastAsia="仿宋" w:cs="仿宋"/>
          <w:color w:val="auto"/>
          <w:sz w:val="24"/>
          <w:szCs w:val="24"/>
          <w:highlight w:val="none"/>
          <w:lang w:val="en-US" w:eastAsia="zh-CN"/>
        </w:rPr>
        <w:t xml:space="preserve">五</w:t>
      </w:r>
      <w:r>
        <w:rPr>
          <w:rStyle w:val="1345"/>
          <w:rFonts w:hint="eastAsia" w:ascii="仿宋" w:hAnsi="仿宋" w:eastAsia="仿宋" w:cs="仿宋"/>
          <w:color w:val="auto"/>
          <w:sz w:val="24"/>
          <w:szCs w:val="24"/>
          <w:highlight w:val="none"/>
        </w:rPr>
        <w:t xml:space="preserve">、授权委托书</w:t>
      </w:r>
      <w:bookmarkEnd w:id="46"/>
      <w:r/>
      <w:bookmarkEnd w:id="47"/>
      <w:r/>
      <w:bookmarkEnd w:id="48"/>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委托人（全称）：</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地  址：</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法定代表人：              </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统一社会信用代码：</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受托人：                  先生（女士）</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身份证号：</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兹委托（            ）全权代表我企业（公司）参与</w:t>
      </w:r>
      <w:r>
        <w:rPr>
          <w:rStyle w:val="1345"/>
          <w:rFonts w:hint="eastAsia" w:ascii="仿宋" w:hAnsi="仿宋" w:eastAsia="仿宋" w:cs="仿宋"/>
          <w:color w:val="auto"/>
          <w:sz w:val="24"/>
          <w:szCs w:val="24"/>
          <w:highlight w:val="none"/>
          <w:u w:val="single"/>
          <w:lang w:eastAsia="zh-CN"/>
        </w:rPr>
        <w:t xml:space="preserve">2025年徐州市新城区新移交市管道路绿地养护管理</w:t>
      </w:r>
      <w:r>
        <w:rPr>
          <w:rStyle w:val="1345"/>
          <w:rFonts w:hint="eastAsia" w:ascii="仿宋" w:hAnsi="仿宋" w:eastAsia="仿宋" w:cs="仿宋"/>
          <w:color w:val="auto"/>
          <w:sz w:val="24"/>
          <w:szCs w:val="24"/>
          <w:highlight w:val="none"/>
        </w:rPr>
        <w:t xml:space="preserve"> [项目编号：</w:t>
      </w:r>
      <w:r>
        <w:rPr>
          <w:rStyle w:val="1345"/>
          <w:rFonts w:hint="eastAsia" w:ascii="仿宋" w:hAnsi="仿宋" w:eastAsia="仿宋" w:cs="仿宋"/>
          <w:color w:val="auto"/>
          <w:sz w:val="24"/>
          <w:szCs w:val="24"/>
          <w:highlight w:val="none"/>
          <w:lang w:eastAsia="zh-CN"/>
        </w:rPr>
        <w:t xml:space="preserve">JSZC-320300-JSKJ-C2025-0066</w:t>
      </w:r>
      <w:r>
        <w:rPr>
          <w:rStyle w:val="1345"/>
          <w:rFonts w:hint="eastAsia" w:ascii="仿宋" w:hAnsi="仿宋" w:eastAsia="仿宋" w:cs="仿宋"/>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委托人</w:t>
      </w:r>
      <w:r>
        <w:rPr>
          <w:rFonts w:hint="eastAsia" w:ascii="仿宋" w:hAnsi="仿宋" w:eastAsia="仿宋" w:cs="仿宋"/>
          <w:bCs/>
          <w:color w:val="auto"/>
          <w:sz w:val="24"/>
          <w:highlight w:val="none"/>
        </w:rPr>
        <w:t xml:space="preserve">（电子签章）</w:t>
      </w:r>
      <w:r>
        <w:rPr>
          <w:rStyle w:val="1345"/>
          <w:rFonts w:hint="eastAsia" w:ascii="仿宋" w:hAnsi="仿宋" w:eastAsia="仿宋" w:cs="仿宋"/>
          <w:color w:val="auto"/>
          <w:sz w:val="24"/>
          <w:szCs w:val="24"/>
          <w:highlight w:val="none"/>
        </w:rPr>
        <w:t xml:space="preserve">：</w:t>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法定代表人（签字或盖章）：</w:t>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受托人（签字或盖章）：</w:t>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日期：</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(受托人身份证</w:t>
      </w:r>
      <w:r>
        <w:rPr>
          <w:rStyle w:val="1345"/>
          <w:rFonts w:hint="eastAsia" w:ascii="仿宋" w:hAnsi="仿宋" w:eastAsia="仿宋" w:cs="仿宋"/>
          <w:color w:val="auto"/>
          <w:sz w:val="24"/>
          <w:szCs w:val="24"/>
          <w:highlight w:val="none"/>
          <w:lang w:val="en-US" w:eastAsia="zh-CN"/>
        </w:rPr>
        <w:t xml:space="preserve">反正面</w:t>
      </w:r>
      <w:r>
        <w:rPr>
          <w:rStyle w:val="1345"/>
          <w:rFonts w:hint="eastAsia" w:ascii="仿宋" w:hAnsi="仿宋" w:eastAsia="仿宋" w:cs="仿宋"/>
          <w:color w:val="auto"/>
          <w:sz w:val="24"/>
          <w:szCs w:val="24"/>
          <w:highlight w:val="none"/>
        </w:rPr>
        <w:t xml:space="preserve">复印件附后)</w:t>
      </w:r>
      <w:r/>
    </w:p>
    <w:p>
      <w:pPr>
        <w:pStyle w:val="1075"/>
        <w:pageBreakBefore w:val="0"/>
        <w:spacing w:line="312" w:lineRule="auto"/>
        <w:widowControl w:val="off"/>
        <w:rPr>
          <w:rStyle w:val="1345"/>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15"/>
        <w:jc w:val="center"/>
        <w:keepLines w:val="0"/>
        <w:keepNext w:val="0"/>
        <w:pageBreakBefore w:val="0"/>
        <w:spacing w:line="312" w:lineRule="auto"/>
        <w:widowControl w:val="off"/>
        <w:rPr>
          <w:rStyle w:val="1345"/>
          <w:rFonts w:hint="eastAsia" w:ascii="仿宋" w:hAnsi="仿宋" w:eastAsia="仿宋" w:cs="仿宋"/>
          <w:color w:val="auto"/>
          <w:sz w:val="24"/>
          <w:szCs w:val="24"/>
          <w:highlight w:val="none"/>
        </w:rPr>
        <w:outlineLvl w:val="9"/>
      </w:pPr>
      <w:r/>
      <w:bookmarkStart w:id="49" w:name="_Toc80122307"/>
      <w:r/>
      <w:r/>
    </w:p>
    <w:p>
      <w:pPr>
        <w:pStyle w:val="1315"/>
        <w:jc w:val="center"/>
        <w:keepLines w:val="0"/>
        <w:keepNext w:val="0"/>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br w:type="page" w:clear="all"/>
      </w:r>
      <w:bookmarkStart w:id="50" w:name="_Toc6068"/>
      <w:r/>
      <w:bookmarkStart w:id="51" w:name="_Toc11872"/>
      <w:r>
        <w:rPr>
          <w:rStyle w:val="1345"/>
          <w:rFonts w:hint="eastAsia" w:ascii="仿宋" w:hAnsi="仿宋" w:eastAsia="仿宋" w:cs="仿宋"/>
          <w:color w:val="auto"/>
          <w:sz w:val="24"/>
          <w:szCs w:val="24"/>
          <w:highlight w:val="none"/>
          <w:lang w:val="en-US" w:eastAsia="zh-CN"/>
        </w:rPr>
        <w:t xml:space="preserve">六</w:t>
      </w:r>
      <w:r>
        <w:rPr>
          <w:rStyle w:val="1345"/>
          <w:rFonts w:hint="eastAsia" w:ascii="仿宋" w:hAnsi="仿宋" w:eastAsia="仿宋" w:cs="仿宋"/>
          <w:color w:val="auto"/>
          <w:sz w:val="24"/>
          <w:szCs w:val="24"/>
          <w:highlight w:val="none"/>
        </w:rPr>
        <w:t xml:space="preserve">、中小企业声明函</w:t>
      </w:r>
      <w:bookmarkEnd w:id="49"/>
      <w:r/>
      <w:bookmarkEnd w:id="50"/>
      <w:r/>
      <w:bookmarkEnd w:id="51"/>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项目名称：</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项目编号：</w:t>
      </w:r>
      <w:r/>
    </w:p>
    <w:p>
      <w:pPr>
        <w:pStyle w:val="107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徐州市住房和城乡建设局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2025年徐州市新城区新移交市管道路绿地养护管理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采购活动，服务全部由符合政策要求的中小企业承接。相关企业的具体情况如下：</w:t>
      </w:r>
      <w:r/>
    </w:p>
    <w:p>
      <w:pPr>
        <w:pStyle w:val="1075"/>
        <w:ind w:firstLine="48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52" w:name="_Hlk105228467"/>
      <w:r>
        <w:rPr>
          <w:rFonts w:hint="eastAsia" w:ascii="仿宋" w:hAnsi="仿宋" w:eastAsia="仿宋" w:cs="仿宋"/>
          <w:color w:val="auto"/>
          <w:sz w:val="24"/>
          <w:szCs w:val="24"/>
          <w:highlight w:val="none"/>
          <w:u w:val="single"/>
        </w:rPr>
        <w:t xml:space="preserve">采购文件中明确的所属行业</w:t>
      </w:r>
      <w:bookmarkEnd w:id="52"/>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1075"/>
        <w:ind w:firstLine="482"/>
        <w:pageBreakBefore w:val="0"/>
        <w:spacing w:line="312"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1075"/>
        <w:ind w:firstLine="480"/>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注：本项目采购属于</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其他未列明行业</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w:t>
      </w:r>
      <w:r/>
    </w:p>
    <w:p>
      <w:pPr>
        <w:pStyle w:val="1075"/>
        <w:ind w:firstLine="48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075"/>
        <w:ind w:firstLine="482"/>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righ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firstLine="312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p>
    <w:p>
      <w:pPr>
        <w:pStyle w:val="1075"/>
        <w:ind w:firstLine="360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日期：  </w:t>
      </w:r>
      <w:r/>
    </w:p>
    <w:p>
      <w:pPr>
        <w:pStyle w:val="1082"/>
        <w:ind w:left="0" w:firstLine="0"/>
        <w:pageBreakBefore w:val="0"/>
        <w:spacing w:after="0" w:line="312" w:lineRule="auto"/>
        <w:rPr>
          <w:rFonts w:hint="eastAsia" w:ascii="仿宋" w:hAnsi="仿宋" w:eastAsia="仿宋" w:cs="仿宋"/>
          <w:b w:val="0"/>
          <w:bCs w:val="0"/>
          <w:color w:val="auto"/>
          <w:sz w:val="21"/>
          <w:szCs w:val="21"/>
          <w:highlight w:val="none"/>
        </w:rPr>
      </w:pPr>
      <w:r/>
      <w:bookmarkStart w:id="53" w:name="OLE_LINK7"/>
      <w:r>
        <w:rPr>
          <w:rFonts w:hint="eastAsia" w:ascii="仿宋" w:hAnsi="仿宋" w:eastAsia="仿宋" w:cs="仿宋"/>
          <w:b w:val="0"/>
          <w:bCs w:val="0"/>
          <w:color w:val="auto"/>
          <w:sz w:val="21"/>
          <w:szCs w:val="21"/>
          <w:highlight w:val="none"/>
          <w:lang w:val="en-US" w:eastAsia="zh-CN"/>
        </w:rPr>
        <w:t xml:space="preserve">说明</w:t>
      </w:r>
      <w:r>
        <w:rPr>
          <w:rFonts w:hint="eastAsia" w:ascii="仿宋" w:hAnsi="仿宋" w:eastAsia="仿宋" w:cs="仿宋"/>
          <w:b w:val="0"/>
          <w:bCs w:val="0"/>
          <w:color w:val="auto"/>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82"/>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2、从业人员、营业收入、资产总额填报响应</w:t>
      </w:r>
      <w:r>
        <w:rPr>
          <w:rFonts w:hint="eastAsia" w:ascii="仿宋" w:hAnsi="仿宋" w:eastAsia="仿宋" w:cs="仿宋"/>
          <w:b w:val="0"/>
          <w:bCs w:val="0"/>
          <w:color w:val="auto"/>
          <w:sz w:val="21"/>
          <w:szCs w:val="21"/>
          <w:highlight w:val="none"/>
          <w:lang w:val="en-US" w:eastAsia="zh-CN"/>
        </w:rPr>
        <w:t xml:space="preserve">供应商</w:t>
      </w:r>
      <w:r>
        <w:rPr>
          <w:rFonts w:hint="eastAsia" w:ascii="仿宋" w:hAnsi="仿宋" w:eastAsia="仿宋" w:cs="仿宋"/>
          <w:b w:val="0"/>
          <w:bCs w:val="0"/>
          <w:color w:val="auto"/>
          <w:sz w:val="21"/>
          <w:szCs w:val="21"/>
          <w:highlight w:val="none"/>
        </w:rPr>
        <w:t xml:space="preserve">上一年度数据，无上一年度数据的新成立企业可不填报。</w:t>
      </w:r>
      <w:r/>
    </w:p>
    <w:p>
      <w:pPr>
        <w:pStyle w:val="1082"/>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3、</w:t>
      </w:r>
      <w:r>
        <w:rPr>
          <w:rFonts w:hint="eastAsia" w:ascii="仿宋" w:hAnsi="仿宋" w:eastAsia="仿宋" w:cs="仿宋"/>
          <w:b w:val="0"/>
          <w:bCs w:val="0"/>
          <w:color w:val="auto"/>
          <w:sz w:val="21"/>
          <w:szCs w:val="21"/>
          <w:highlight w:val="none"/>
          <w:lang w:eastAsia="zh-CN"/>
        </w:rPr>
        <w:t xml:space="preserve">中标人</w:t>
      </w:r>
      <w:r>
        <w:rPr>
          <w:rFonts w:hint="eastAsia" w:ascii="仿宋" w:hAnsi="仿宋" w:eastAsia="仿宋" w:cs="仿宋"/>
          <w:b w:val="0"/>
          <w:bCs w:val="0"/>
          <w:color w:val="auto"/>
          <w:sz w:val="21"/>
          <w:szCs w:val="21"/>
          <w:highlight w:val="none"/>
        </w:rPr>
        <w:t xml:space="preserve">为</w:t>
      </w:r>
      <w:r>
        <w:rPr>
          <w:rFonts w:hint="eastAsia" w:ascii="仿宋" w:hAnsi="仿宋" w:eastAsia="仿宋" w:cs="仿宋"/>
          <w:b w:val="0"/>
          <w:bCs w:val="0"/>
          <w:color w:val="auto"/>
          <w:sz w:val="21"/>
          <w:szCs w:val="21"/>
          <w:highlight w:val="none"/>
          <w:lang w:val="en-US" w:eastAsia="zh-CN"/>
        </w:rPr>
        <w:t xml:space="preserve">中型、</w:t>
      </w:r>
      <w:r>
        <w:rPr>
          <w:rFonts w:hint="eastAsia" w:ascii="仿宋" w:hAnsi="仿宋" w:eastAsia="仿宋" w:cs="仿宋"/>
          <w:b w:val="0"/>
          <w:bCs w:val="0"/>
          <w:color w:val="auto"/>
          <w:sz w:val="21"/>
          <w:szCs w:val="21"/>
          <w:highlight w:val="none"/>
        </w:rPr>
        <w:t xml:space="preserve">小型、微型企业的，采购人或者其委托的采购代理机构有权随中标、成交结果同时公告其《中小企业声明函》，接受社会监督。</w:t>
      </w:r>
      <w:r/>
    </w:p>
    <w:p>
      <w:pPr>
        <w:pStyle w:val="1082"/>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4、执行江苏省财政厅关于进一步加大政府采购支持中小企业力度的通知（苏财购〔2022〕45号）的规定。</w:t>
      </w:r>
      <w:r/>
    </w:p>
    <w:p>
      <w:pPr>
        <w:pStyle w:val="1082"/>
        <w:ind w:left="0" w:firstLine="482"/>
        <w:pageBreakBefore w:val="0"/>
        <w:spacing w:after="0" w:line="312"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5、响应</w:t>
      </w:r>
      <w:r>
        <w:rPr>
          <w:rFonts w:hint="eastAsia" w:ascii="仿宋" w:hAnsi="仿宋" w:eastAsia="仿宋" w:cs="仿宋"/>
          <w:b w:val="0"/>
          <w:bCs w:val="0"/>
          <w:color w:val="auto"/>
          <w:sz w:val="21"/>
          <w:szCs w:val="21"/>
          <w:highlight w:val="none"/>
          <w:lang w:val="en-US" w:eastAsia="zh-CN"/>
        </w:rPr>
        <w:t xml:space="preserve">供应商</w:t>
      </w:r>
      <w:r>
        <w:rPr>
          <w:rFonts w:hint="eastAsia" w:ascii="仿宋" w:hAnsi="仿宋" w:eastAsia="仿宋" w:cs="仿宋"/>
          <w:b w:val="0"/>
          <w:bCs w:val="0"/>
          <w:color w:val="auto"/>
          <w:sz w:val="21"/>
          <w:szCs w:val="21"/>
          <w:highlight w:val="none"/>
        </w:rPr>
        <w:t xml:space="preserve">提供的《中小企业声明函》与事实不符的，依照《中华人民共和国政府采购法》第七十七条第一款的规定追究法律责任。</w:t>
      </w:r>
      <w:r/>
    </w:p>
    <w:p>
      <w:pPr>
        <w:pStyle w:val="1335"/>
        <w:ind w:firstLine="480"/>
        <w:keepLines w:val="0"/>
        <w:keepNext w:val="0"/>
        <w:pageBreakBefore w:val="0"/>
        <w:spacing w:beforeAutospacing="0" w:afterAutospacing="0" w:line="312"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6、《中小企业声明函》查询渠道用微信搜索“中小企业规模类型自测小程序”。</w:t>
      </w:r>
      <w:r/>
    </w:p>
    <w:p>
      <w:pPr>
        <w:pStyle w:val="1335"/>
        <w:keepLines w:val="0"/>
        <w:keepNext w:val="0"/>
        <w:pageBreakBefore w:val="0"/>
        <w:spacing w:beforeAutospacing="0" w:afterAutospacing="0" w:line="312"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335"/>
        <w:jc w:val="center"/>
        <w:keepLines w:val="0"/>
        <w:keepNext w:val="0"/>
        <w:pageBreakBefore w:val="0"/>
        <w:spacing w:beforeAutospacing="0" w:afterAutospacing="0" w:line="312" w:lineRule="auto"/>
        <w:rPr>
          <w:rFonts w:hint="eastAsia" w:ascii="仿宋" w:hAnsi="仿宋" w:eastAsia="仿宋" w:cs="仿宋"/>
          <w:color w:val="auto"/>
          <w:sz w:val="30"/>
          <w:szCs w:val="30"/>
          <w:highlight w:val="none"/>
        </w:rPr>
        <w:sectPr>
          <w:headerReference w:type="default" r:id="rId11"/>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123440" cy="4614545"/>
                <wp:effectExtent l="0" t="0" r="635" b="5080"/>
                <wp:docPr id="18" name="图片 16"/>
                <wp:cNvGraphicFramePr/>
                <a:graphic xmlns:a="http://schemas.openxmlformats.org/drawingml/2006/main">
                  <a:graphicData uri="http://schemas.openxmlformats.org/drawingml/2006/picture">
                    <pic:pic xmlns:pic="http://schemas.openxmlformats.org/drawingml/2006/picture">
                      <pic:nvPicPr>
                        <pic:cNvPr id="21" name="图片 16"/>
                        <pic:cNvPicPr/>
                        <pic:nvPr/>
                      </pic:nvPicPr>
                      <pic:blipFill>
                        <a:blip r:embed="rId28"/>
                        <a:srcRect l="0" t="4825" r="0" b="0"/>
                        <a:stretch/>
                      </pic:blipFill>
                      <pic:spPr bwMode="auto">
                        <a:xfrm>
                          <a:off x="0" y="0"/>
                          <a:ext cx="2123440" cy="4614544"/>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67.2pt;height:363.3pt;mso-wrap-distance-left:0.0pt;mso-wrap-distance-top:0.0pt;mso-wrap-distance-right:0.0pt;mso-wrap-distance-bottom:0.0pt;" stroked="f">
                <v:path textboxrect="0,0,0,0"/>
                <v:imagedata r:id="rId28" o:title=""/>
              </v:shape>
            </w:pict>
          </mc:Fallback>
        </mc:AlternateContent>
      </w:r>
      <w:bookmarkEnd w:id="53"/>
      <w:r/>
      <w:r/>
    </w:p>
    <w:p>
      <w:pPr>
        <w:pStyle w:val="1075"/>
        <w:jc w:val="center"/>
        <w:pageBreakBefore w:val="0"/>
        <w:spacing w:line="312" w:lineRule="auto"/>
        <w:widowControl w:val="off"/>
        <w:rPr>
          <w:rStyle w:val="1345"/>
          <w:rFonts w:hint="eastAsia" w:ascii="仿宋" w:hAnsi="仿宋" w:eastAsia="仿宋" w:cs="仿宋"/>
          <w:b/>
          <w:bCs/>
          <w:color w:val="auto"/>
          <w:sz w:val="24"/>
          <w:szCs w:val="24"/>
          <w:highlight w:val="none"/>
        </w:rPr>
        <w:outlineLvl w:val="1"/>
      </w:pPr>
      <w:r/>
      <w:bookmarkStart w:id="54" w:name="_Toc80122308"/>
      <w:r/>
      <w:bookmarkStart w:id="55" w:name="_Toc15197"/>
      <w:r/>
      <w:bookmarkStart w:id="56" w:name="_Toc402"/>
      <w:r>
        <w:rPr>
          <w:rStyle w:val="1345"/>
          <w:rFonts w:hint="eastAsia" w:ascii="仿宋" w:hAnsi="仿宋" w:eastAsia="仿宋" w:cs="仿宋"/>
          <w:b/>
          <w:bCs/>
          <w:color w:val="auto"/>
          <w:sz w:val="24"/>
          <w:szCs w:val="24"/>
          <w:highlight w:val="none"/>
          <w:lang w:val="en-US" w:eastAsia="zh-CN"/>
        </w:rPr>
        <w:t xml:space="preserve">七</w:t>
      </w:r>
      <w:r>
        <w:rPr>
          <w:rStyle w:val="1345"/>
          <w:rFonts w:hint="eastAsia" w:ascii="仿宋" w:hAnsi="仿宋" w:eastAsia="仿宋" w:cs="仿宋"/>
          <w:b/>
          <w:bCs/>
          <w:color w:val="auto"/>
          <w:sz w:val="24"/>
          <w:szCs w:val="24"/>
          <w:highlight w:val="none"/>
        </w:rPr>
        <w:t xml:space="preserve">、残疾人福利性单位声明函</w:t>
      </w:r>
      <w:bookmarkEnd w:id="54"/>
      <w:r/>
      <w:bookmarkEnd w:id="55"/>
      <w:r>
        <w:rPr>
          <w:rStyle w:val="1345"/>
          <w:rFonts w:hint="eastAsia" w:ascii="仿宋" w:hAnsi="仿宋" w:eastAsia="仿宋" w:cs="仿宋"/>
          <w:b/>
          <w:bCs/>
          <w:color w:val="auto"/>
          <w:sz w:val="24"/>
          <w:szCs w:val="24"/>
          <w:highlight w:val="none"/>
          <w:lang w:eastAsia="zh-CN"/>
        </w:rPr>
        <w:t xml:space="preserve">（</w:t>
      </w:r>
      <w:r>
        <w:rPr>
          <w:rStyle w:val="1345"/>
          <w:rFonts w:hint="eastAsia" w:ascii="仿宋" w:hAnsi="仿宋" w:eastAsia="仿宋" w:cs="仿宋"/>
          <w:b/>
          <w:bCs/>
          <w:color w:val="auto"/>
          <w:sz w:val="24"/>
          <w:szCs w:val="24"/>
          <w:highlight w:val="none"/>
          <w:lang w:val="en-US" w:eastAsia="zh-CN"/>
        </w:rPr>
        <w:t xml:space="preserve">非</w:t>
      </w:r>
      <w:r>
        <w:rPr>
          <w:rStyle w:val="1345"/>
          <w:rFonts w:hint="eastAsia" w:ascii="仿宋" w:hAnsi="仿宋" w:eastAsia="仿宋" w:cs="仿宋"/>
          <w:b/>
          <w:bCs/>
          <w:color w:val="auto"/>
          <w:sz w:val="24"/>
          <w:szCs w:val="24"/>
          <w:highlight w:val="none"/>
        </w:rPr>
        <w:t xml:space="preserve">残疾人福利性单位</w:t>
      </w:r>
      <w:r>
        <w:rPr>
          <w:rStyle w:val="1345"/>
          <w:rFonts w:hint="eastAsia" w:ascii="仿宋" w:hAnsi="仿宋" w:eastAsia="仿宋" w:cs="仿宋"/>
          <w:b/>
          <w:bCs/>
          <w:color w:val="auto"/>
          <w:sz w:val="24"/>
          <w:szCs w:val="24"/>
          <w:highlight w:val="none"/>
          <w:lang w:val="en-US" w:eastAsia="zh-CN"/>
        </w:rPr>
        <w:t xml:space="preserve">可以不提供）</w:t>
      </w:r>
      <w:bookmarkEnd w:id="56"/>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项目名称：</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项目编号：</w:t>
      </w:r>
      <w:r/>
    </w:p>
    <w:p>
      <w:pPr>
        <w:pStyle w:val="1075"/>
        <w:ind w:firstLine="504"/>
        <w:jc w:val="left"/>
        <w:pageBreakBefore w:val="0"/>
        <w:spacing w:line="312" w:lineRule="auto"/>
        <w:widowControl w:val="off"/>
        <w:rPr>
          <w:rStyle w:val="1345"/>
          <w:rFonts w:hint="eastAsia" w:ascii="仿宋" w:hAnsi="仿宋" w:eastAsia="仿宋" w:cs="仿宋"/>
          <w:color w:val="auto"/>
          <w:spacing w:val="6"/>
          <w:sz w:val="24"/>
          <w:szCs w:val="24"/>
          <w:highlight w:val="none"/>
        </w:rPr>
      </w:pPr>
      <w:r>
        <w:rPr>
          <w:rStyle w:val="1345"/>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Style w:val="1345"/>
          <w:rFonts w:hint="eastAsia" w:ascii="仿宋" w:hAnsi="仿宋" w:eastAsia="仿宋" w:cs="仿宋"/>
          <w:color w:val="auto"/>
          <w:sz w:val="24"/>
          <w:szCs w:val="24"/>
          <w:highlight w:val="none"/>
        </w:rPr>
        <w:t xml:space="preserve">〔2017〕141</w:t>
      </w:r>
      <w:r>
        <w:rPr>
          <w:rStyle w:val="1345"/>
          <w:rFonts w:hint="eastAsia" w:ascii="仿宋" w:hAnsi="仿宋" w:eastAsia="仿宋" w:cs="仿宋"/>
          <w:color w:val="auto"/>
          <w:spacing w:val="6"/>
          <w:sz w:val="24"/>
          <w:szCs w:val="24"/>
          <w:highlight w:val="none"/>
        </w:rPr>
        <w:t xml:space="preserve">号）的规定，本单位为符合条件的残疾人福利性单位，且本单位参加</w:t>
      </w:r>
      <w:r>
        <w:rPr>
          <w:rStyle w:val="1345"/>
          <w:rFonts w:hint="eastAsia" w:ascii="仿宋" w:hAnsi="仿宋" w:eastAsia="仿宋" w:cs="仿宋"/>
          <w:color w:val="auto"/>
          <w:sz w:val="24"/>
          <w:szCs w:val="24"/>
          <w:highlight w:val="none"/>
        </w:rPr>
        <w:t xml:space="preserve">______</w:t>
      </w:r>
      <w:r>
        <w:rPr>
          <w:rStyle w:val="1345"/>
          <w:rFonts w:hint="eastAsia" w:ascii="仿宋" w:hAnsi="仿宋" w:eastAsia="仿宋" w:cs="仿宋"/>
          <w:color w:val="auto"/>
          <w:spacing w:val="6"/>
          <w:sz w:val="24"/>
          <w:szCs w:val="24"/>
          <w:highlight w:val="none"/>
        </w:rPr>
        <w:t xml:space="preserve">单位的</w:t>
      </w:r>
      <w:r>
        <w:rPr>
          <w:rStyle w:val="1345"/>
          <w:rFonts w:hint="eastAsia" w:ascii="仿宋" w:hAnsi="仿宋" w:eastAsia="仿宋" w:cs="仿宋"/>
          <w:color w:val="auto"/>
          <w:sz w:val="24"/>
          <w:szCs w:val="24"/>
          <w:highlight w:val="none"/>
        </w:rPr>
        <w:t xml:space="preserve">______</w:t>
      </w:r>
      <w:r>
        <w:rPr>
          <w:rStyle w:val="1345"/>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75"/>
        <w:ind w:firstLine="504"/>
        <w:jc w:val="left"/>
        <w:pageBreakBefore w:val="0"/>
        <w:spacing w:line="312" w:lineRule="auto"/>
        <w:widowControl w:val="off"/>
        <w:rPr>
          <w:rStyle w:val="1345"/>
          <w:rFonts w:hint="eastAsia" w:ascii="仿宋" w:hAnsi="仿宋" w:eastAsia="仿宋" w:cs="仿宋"/>
          <w:color w:val="auto"/>
          <w:spacing w:val="6"/>
          <w:sz w:val="24"/>
          <w:szCs w:val="24"/>
          <w:highlight w:val="none"/>
        </w:rPr>
      </w:pPr>
      <w:r>
        <w:rPr>
          <w:rStyle w:val="1345"/>
          <w:rFonts w:hint="eastAsia" w:ascii="仿宋" w:hAnsi="仿宋" w:eastAsia="仿宋" w:cs="仿宋"/>
          <w:color w:val="auto"/>
          <w:spacing w:val="6"/>
          <w:sz w:val="24"/>
          <w:szCs w:val="24"/>
          <w:highlight w:val="none"/>
        </w:rPr>
        <w:t xml:space="preserve">本单位对上述声明的真实性负责。如有虚假，将依法承担相应责任。</w:t>
      </w:r>
      <w:r/>
    </w:p>
    <w:p>
      <w:pPr>
        <w:pStyle w:val="1075"/>
        <w:ind w:firstLine="504"/>
        <w:jc w:val="left"/>
        <w:pageBreakBefore w:val="0"/>
        <w:spacing w:line="312" w:lineRule="auto"/>
        <w:widowControl w:val="off"/>
        <w:rPr>
          <w:rStyle w:val="134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75"/>
        <w:ind w:firstLine="504"/>
        <w:jc w:val="left"/>
        <w:pageBreakBefore w:val="0"/>
        <w:spacing w:line="312" w:lineRule="auto"/>
        <w:widowControl w:val="off"/>
        <w:rPr>
          <w:rStyle w:val="134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日期：  </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pStyle w:val="1315"/>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pPr>
      <w:r/>
      <w:bookmarkStart w:id="57" w:name="_Toc5658"/>
      <w:r/>
      <w:bookmarkStart w:id="58" w:name="_Toc80122309"/>
      <w:r/>
      <w:bookmarkStart w:id="59" w:name="_Toc18653"/>
      <w:r>
        <w:rPr>
          <w:rStyle w:val="1345"/>
          <w:rFonts w:hint="eastAsia" w:ascii="仿宋" w:hAnsi="仿宋" w:eastAsia="仿宋" w:cs="仿宋"/>
          <w:color w:val="auto"/>
          <w:sz w:val="24"/>
          <w:szCs w:val="24"/>
          <w:highlight w:val="none"/>
          <w:lang w:val="en-US" w:eastAsia="zh-CN"/>
        </w:rPr>
        <w:t xml:space="preserve">八</w:t>
      </w:r>
      <w:r>
        <w:rPr>
          <w:rStyle w:val="1345"/>
          <w:rFonts w:hint="eastAsia" w:ascii="仿宋" w:hAnsi="仿宋" w:eastAsia="仿宋" w:cs="仿宋"/>
          <w:color w:val="auto"/>
          <w:sz w:val="24"/>
          <w:szCs w:val="24"/>
          <w:highlight w:val="none"/>
        </w:rPr>
        <w:t xml:space="preserve">、</w:t>
      </w:r>
      <w:bookmarkEnd w:id="57"/>
      <w:r/>
      <w:bookmarkEnd w:id="58"/>
      <w:r>
        <w:rPr>
          <w:rStyle w:val="1345"/>
          <w:rFonts w:hint="eastAsia" w:ascii="仿宋" w:hAnsi="仿宋" w:eastAsia="仿宋" w:cs="仿宋"/>
          <w:color w:val="auto"/>
          <w:sz w:val="24"/>
          <w:szCs w:val="24"/>
          <w:highlight w:val="none"/>
        </w:rPr>
        <w:t xml:space="preserve">供应商参加政府采购活动前3年内在经营活动中没有重大违法记录的书面声明</w:t>
      </w:r>
      <w:bookmarkEnd w:id="59"/>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我单位在参加</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u w:val="single"/>
          <w:lang w:eastAsia="zh-CN"/>
        </w:rPr>
        <w:t xml:space="preserve">2025年徐州市新城区新移交市管道路绿地养护管理</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[项目编号：</w:t>
      </w:r>
      <w:r>
        <w:rPr>
          <w:rStyle w:val="1345"/>
          <w:rFonts w:hint="eastAsia" w:ascii="仿宋" w:hAnsi="仿宋" w:eastAsia="仿宋" w:cs="仿宋"/>
          <w:color w:val="auto"/>
          <w:sz w:val="24"/>
          <w:szCs w:val="24"/>
          <w:highlight w:val="none"/>
          <w:lang w:eastAsia="zh-CN"/>
        </w:rPr>
        <w:t xml:space="preserve">JSZC-320300-JSKJ-C2025-0066</w:t>
      </w:r>
      <w:r>
        <w:rPr>
          <w:rStyle w:val="1345"/>
          <w:rFonts w:hint="eastAsia" w:ascii="仿宋" w:hAnsi="仿宋" w:eastAsia="仿宋" w:cs="仿宋"/>
          <w:color w:val="auto"/>
          <w:sz w:val="24"/>
          <w:szCs w:val="24"/>
          <w:highlight w:val="none"/>
        </w:rPr>
        <w:t xml:space="preserve">]政府采购活动前</w:t>
      </w:r>
      <w:r>
        <w:rPr>
          <w:rStyle w:val="1345"/>
          <w:rFonts w:hint="eastAsia" w:ascii="仿宋" w:hAnsi="仿宋" w:eastAsia="仿宋" w:cs="仿宋"/>
          <w:color w:val="auto"/>
          <w:sz w:val="24"/>
          <w:szCs w:val="24"/>
          <w:highlight w:val="none"/>
          <w:lang w:val="en-US" w:eastAsia="zh-CN"/>
        </w:rPr>
        <w:t xml:space="preserve">3</w:t>
      </w:r>
      <w:r>
        <w:rPr>
          <w:rStyle w:val="1345"/>
          <w:rFonts w:hint="eastAsia" w:ascii="仿宋" w:hAnsi="仿宋" w:eastAsia="仿宋" w:cs="仿宋"/>
          <w:color w:val="auto"/>
          <w:sz w:val="24"/>
          <w:szCs w:val="24"/>
          <w:highlight w:val="none"/>
        </w:rPr>
        <w:t xml:space="preserve">年内在经营活动中没有重大违法记录。重大违法记录是指因违法经营受到刑事处罚或者责令停产停业、吊销许可证或者执照、较大数额罚款等行政处罚。</w:t>
      </w:r>
      <w:r/>
    </w:p>
    <w:p>
      <w:pPr>
        <w:pStyle w:val="1075"/>
        <w:ind w:firstLine="72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我单位对上述声明的真实性负责。如有虚假，将依法承担相应责任。</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供应商</w:t>
      </w:r>
      <w:r>
        <w:rPr>
          <w:rFonts w:hint="eastAsia" w:ascii="仿宋" w:hAnsi="仿宋" w:eastAsia="仿宋" w:cs="仿宋"/>
          <w:bCs/>
          <w:color w:val="auto"/>
          <w:sz w:val="24"/>
          <w:highlight w:val="none"/>
        </w:rPr>
        <w:t xml:space="preserve">（电子签章）</w:t>
      </w:r>
      <w:r>
        <w:rPr>
          <w:rStyle w:val="1345"/>
          <w:rFonts w:hint="eastAsia" w:ascii="仿宋" w:hAnsi="仿宋" w:eastAsia="仿宋" w:cs="仿宋"/>
          <w:color w:val="auto"/>
          <w:sz w:val="24"/>
          <w:szCs w:val="24"/>
          <w:highlight w:val="none"/>
        </w:rPr>
        <w:t xml:space="preserve">：</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w:t>
      </w:r>
      <w:r/>
    </w:p>
    <w:p>
      <w:pPr>
        <w:pStyle w:val="1075"/>
        <w:jc w:val="left"/>
        <w:pageBreakBefore w:val="0"/>
        <w:spacing w:line="312" w:lineRule="auto"/>
        <w:widowControl w:val="off"/>
        <w:rPr>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日期： </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15"/>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br w:type="page" w:clear="all"/>
      </w:r>
      <w:bookmarkStart w:id="60" w:name="_Toc18439"/>
      <w:r/>
      <w:bookmarkStart w:id="61" w:name="_Toc7334"/>
      <w:r/>
      <w:bookmarkStart w:id="62" w:name="_Toc80122310"/>
      <w:r>
        <w:rPr>
          <w:rStyle w:val="1345"/>
          <w:rFonts w:hint="eastAsia" w:ascii="仿宋" w:hAnsi="仿宋" w:eastAsia="仿宋" w:cs="仿宋"/>
          <w:color w:val="auto"/>
          <w:sz w:val="24"/>
          <w:szCs w:val="24"/>
          <w:highlight w:val="none"/>
          <w:lang w:val="en-US" w:eastAsia="zh-CN"/>
        </w:rPr>
        <w:t xml:space="preserve">九</w:t>
      </w:r>
      <w:r>
        <w:rPr>
          <w:rStyle w:val="1345"/>
          <w:rFonts w:hint="eastAsia" w:ascii="仿宋" w:hAnsi="仿宋" w:eastAsia="仿宋" w:cs="仿宋"/>
          <w:color w:val="auto"/>
          <w:sz w:val="24"/>
          <w:szCs w:val="24"/>
          <w:highlight w:val="none"/>
        </w:rPr>
        <w:t xml:space="preserve">、具备履行合同所必需的设备和专业技术能力的书面声明</w:t>
      </w:r>
      <w:bookmarkEnd w:id="60"/>
      <w:r/>
      <w:bookmarkEnd w:id="61"/>
      <w:r/>
      <w:r/>
    </w:p>
    <w:p>
      <w:pPr>
        <w:pStyle w:val="1315"/>
        <w:jc w:val="center"/>
        <w:keepLines w:val="0"/>
        <w:keepNext w:val="0"/>
        <w:pageBreakBefore w:val="0"/>
        <w:spacing w:before="0" w:after="0" w:line="312" w:lineRule="auto"/>
        <w:widowControl w:val="off"/>
        <w:rPr>
          <w:rStyle w:val="1345"/>
          <w:rFonts w:hint="eastAsia" w:ascii="仿宋" w:hAnsi="仿宋" w:eastAsia="仿宋" w:cs="仿宋"/>
          <w:color w:val="auto"/>
          <w:sz w:val="24"/>
          <w:szCs w:val="24"/>
          <w:highlight w:val="none"/>
        </w:rPr>
        <w:outlineLvl w:val="9"/>
      </w:pPr>
      <w:r/>
      <w:bookmarkStart w:id="63" w:name="_Toc19685"/>
      <w:r/>
      <w:bookmarkStart w:id="64" w:name="_Toc28074"/>
      <w:r>
        <w:rPr>
          <w:rStyle w:val="1345"/>
          <w:rFonts w:hint="eastAsia" w:ascii="仿宋" w:hAnsi="仿宋" w:eastAsia="仿宋" w:cs="仿宋"/>
          <w:color w:val="auto"/>
          <w:sz w:val="24"/>
          <w:szCs w:val="24"/>
          <w:highlight w:val="none"/>
        </w:rPr>
        <w:t xml:space="preserve">（附证明材料扫描件）</w:t>
      </w:r>
      <w:bookmarkEnd w:id="62"/>
      <w:r/>
      <w:bookmarkEnd w:id="63"/>
      <w:r/>
      <w:bookmarkEnd w:id="64"/>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项目名称：</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项目编号：</w:t>
      </w:r>
      <w:r/>
    </w:p>
    <w:p>
      <w:pPr>
        <w:pStyle w:val="1075"/>
        <w:ind w:firstLine="480"/>
        <w:jc w:val="left"/>
        <w:pageBreakBefore w:val="0"/>
        <w:spacing w:line="312" w:lineRule="auto"/>
        <w:widowControl w:val="off"/>
        <w:rPr>
          <w:rStyle w:val="1345"/>
          <w:rFonts w:hint="eastAsia" w:ascii="仿宋" w:hAnsi="仿宋" w:eastAsia="仿宋" w:cs="仿宋"/>
          <w:color w:val="auto"/>
          <w:sz w:val="24"/>
          <w:szCs w:val="24"/>
          <w:highlight w:val="none"/>
          <w:lang w:val="en-US" w:eastAsia="zh-CN"/>
        </w:rPr>
      </w:pPr>
      <w:r>
        <w:rPr>
          <w:rStyle w:val="1345"/>
          <w:rFonts w:hint="eastAsia" w:ascii="仿宋" w:hAnsi="仿宋" w:eastAsia="仿宋" w:cs="仿宋"/>
          <w:color w:val="auto"/>
          <w:sz w:val="24"/>
          <w:szCs w:val="24"/>
          <w:highlight w:val="none"/>
        </w:rPr>
        <w:t xml:space="preserve">供应商郑重声明：供应商具备履行合同（项目名称</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u w:val="single"/>
          <w:lang w:val="en-US" w:eastAsia="zh-CN"/>
        </w:rPr>
        <w:t xml:space="preserve">   </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，项目编号：</w:t>
      </w:r>
      <w:r>
        <w:rPr>
          <w:rStyle w:val="1345"/>
          <w:rFonts w:hint="eastAsia" w:ascii="仿宋" w:hAnsi="仿宋" w:eastAsia="仿宋" w:cs="仿宋"/>
          <w:color w:val="auto"/>
          <w:sz w:val="24"/>
          <w:szCs w:val="24"/>
          <w:highlight w:val="none"/>
          <w:u w:val="single"/>
          <w:lang w:val="en-US" w:eastAsia="zh-CN"/>
        </w:rPr>
        <w:t xml:space="preserve">       </w:t>
      </w:r>
      <w:r>
        <w:rPr>
          <w:rStyle w:val="1345"/>
          <w:rFonts w:hint="eastAsia" w:ascii="仿宋" w:hAnsi="仿宋" w:eastAsia="仿宋" w:cs="仿宋"/>
          <w:color w:val="auto"/>
          <w:sz w:val="24"/>
          <w:szCs w:val="24"/>
          <w:highlight w:val="none"/>
        </w:rPr>
        <w:t xml:space="preserve">所必需的设备和专业技术能力，具体为：</w:t>
      </w:r>
      <w:r>
        <w:rPr>
          <w:rStyle w:val="1345"/>
          <w:rFonts w:hint="eastAsia" w:ascii="仿宋" w:hAnsi="仿宋" w:eastAsia="仿宋" w:cs="仿宋"/>
          <w:color w:val="auto"/>
          <w:sz w:val="24"/>
          <w:szCs w:val="24"/>
          <w:highlight w:val="none"/>
          <w:lang w:val="en-US" w:eastAsia="zh-CN"/>
        </w:rPr>
        <w:t xml:space="preserve"> </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设备：</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1、 </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（证明材料</w:t>
      </w:r>
      <w:r>
        <w:rPr>
          <w:rStyle w:val="1345"/>
          <w:rFonts w:hint="eastAsia" w:ascii="仿宋" w:hAnsi="仿宋" w:eastAsia="仿宋" w:cs="仿宋"/>
          <w:color w:val="auto"/>
          <w:sz w:val="24"/>
          <w:szCs w:val="24"/>
          <w:highlight w:val="none"/>
          <w:lang w:val="en-US" w:eastAsia="zh-CN"/>
        </w:rPr>
        <w:t xml:space="preserve">扫描</w:t>
      </w:r>
      <w:r>
        <w:rPr>
          <w:rStyle w:val="1345"/>
          <w:rFonts w:hint="eastAsia" w:ascii="仿宋" w:hAnsi="仿宋" w:eastAsia="仿宋" w:cs="仿宋"/>
          <w:color w:val="auto"/>
          <w:sz w:val="24"/>
          <w:szCs w:val="24"/>
          <w:highlight w:val="none"/>
        </w:rPr>
        <w:t xml:space="preserve">件附后）</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2、  </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 （证明材料</w:t>
      </w:r>
      <w:r>
        <w:rPr>
          <w:rStyle w:val="1345"/>
          <w:rFonts w:hint="eastAsia" w:ascii="仿宋" w:hAnsi="仿宋" w:eastAsia="仿宋" w:cs="仿宋"/>
          <w:color w:val="auto"/>
          <w:sz w:val="24"/>
          <w:szCs w:val="24"/>
          <w:highlight w:val="none"/>
          <w:lang w:val="en-US" w:eastAsia="zh-CN"/>
        </w:rPr>
        <w:t xml:space="preserve">扫描</w:t>
      </w:r>
      <w:r>
        <w:rPr>
          <w:rStyle w:val="1345"/>
          <w:rFonts w:hint="eastAsia" w:ascii="仿宋" w:hAnsi="仿宋" w:eastAsia="仿宋" w:cs="仿宋"/>
          <w:color w:val="auto"/>
          <w:sz w:val="24"/>
          <w:szCs w:val="24"/>
          <w:highlight w:val="none"/>
        </w:rPr>
        <w:t xml:space="preserve">件附后）</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3、</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（证明材料</w:t>
      </w:r>
      <w:r>
        <w:rPr>
          <w:rStyle w:val="1345"/>
          <w:rFonts w:hint="eastAsia" w:ascii="仿宋" w:hAnsi="仿宋" w:eastAsia="仿宋" w:cs="仿宋"/>
          <w:color w:val="auto"/>
          <w:sz w:val="24"/>
          <w:szCs w:val="24"/>
          <w:highlight w:val="none"/>
          <w:lang w:val="en-US" w:eastAsia="zh-CN"/>
        </w:rPr>
        <w:t xml:space="preserve">扫描</w:t>
      </w:r>
      <w:r>
        <w:rPr>
          <w:rStyle w:val="1345"/>
          <w:rFonts w:hint="eastAsia" w:ascii="仿宋" w:hAnsi="仿宋" w:eastAsia="仿宋" w:cs="仿宋"/>
          <w:color w:val="auto"/>
          <w:sz w:val="24"/>
          <w:szCs w:val="24"/>
          <w:highlight w:val="none"/>
        </w:rPr>
        <w:t xml:space="preserve">件附后）</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专业技术能力：</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1、</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（证明材料</w:t>
      </w:r>
      <w:r>
        <w:rPr>
          <w:rStyle w:val="1345"/>
          <w:rFonts w:hint="eastAsia" w:ascii="仿宋" w:hAnsi="仿宋" w:eastAsia="仿宋" w:cs="仿宋"/>
          <w:color w:val="auto"/>
          <w:sz w:val="24"/>
          <w:szCs w:val="24"/>
          <w:highlight w:val="none"/>
          <w:lang w:val="en-US" w:eastAsia="zh-CN"/>
        </w:rPr>
        <w:t xml:space="preserve">扫描</w:t>
      </w:r>
      <w:r>
        <w:rPr>
          <w:rStyle w:val="1345"/>
          <w:rFonts w:hint="eastAsia" w:ascii="仿宋" w:hAnsi="仿宋" w:eastAsia="仿宋" w:cs="仿宋"/>
          <w:color w:val="auto"/>
          <w:sz w:val="24"/>
          <w:szCs w:val="24"/>
          <w:highlight w:val="none"/>
        </w:rPr>
        <w:t xml:space="preserve">件附后）</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2、</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 （证明材料</w:t>
      </w:r>
      <w:r>
        <w:rPr>
          <w:rStyle w:val="1345"/>
          <w:rFonts w:hint="eastAsia" w:ascii="仿宋" w:hAnsi="仿宋" w:eastAsia="仿宋" w:cs="仿宋"/>
          <w:color w:val="auto"/>
          <w:sz w:val="24"/>
          <w:szCs w:val="24"/>
          <w:highlight w:val="none"/>
          <w:lang w:val="en-US" w:eastAsia="zh-CN"/>
        </w:rPr>
        <w:t xml:space="preserve">扫描</w:t>
      </w:r>
      <w:r>
        <w:rPr>
          <w:rStyle w:val="1345"/>
          <w:rFonts w:hint="eastAsia" w:ascii="仿宋" w:hAnsi="仿宋" w:eastAsia="仿宋" w:cs="仿宋"/>
          <w:color w:val="auto"/>
          <w:sz w:val="24"/>
          <w:szCs w:val="24"/>
          <w:highlight w:val="none"/>
        </w:rPr>
        <w:t xml:space="preserve">件附后）</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3、</w:t>
      </w:r>
      <w:r>
        <w:rPr>
          <w:rStyle w:val="1345"/>
          <w:rFonts w:hint="eastAsia" w:ascii="仿宋" w:hAnsi="仿宋" w:eastAsia="仿宋" w:cs="仿宋"/>
          <w:color w:val="auto"/>
          <w:sz w:val="24"/>
          <w:szCs w:val="24"/>
          <w:highlight w:val="none"/>
          <w:u w:val="single"/>
        </w:rPr>
        <w:t xml:space="preserve">                          </w:t>
      </w:r>
      <w:r>
        <w:rPr>
          <w:rStyle w:val="1345"/>
          <w:rFonts w:hint="eastAsia" w:ascii="仿宋" w:hAnsi="仿宋" w:eastAsia="仿宋" w:cs="仿宋"/>
          <w:color w:val="auto"/>
          <w:sz w:val="24"/>
          <w:szCs w:val="24"/>
          <w:highlight w:val="none"/>
        </w:rPr>
        <w:t xml:space="preserve"> （证明材料</w:t>
      </w:r>
      <w:r>
        <w:rPr>
          <w:rStyle w:val="1345"/>
          <w:rFonts w:hint="eastAsia" w:ascii="仿宋" w:hAnsi="仿宋" w:eastAsia="仿宋" w:cs="仿宋"/>
          <w:color w:val="auto"/>
          <w:sz w:val="24"/>
          <w:szCs w:val="24"/>
          <w:highlight w:val="none"/>
          <w:lang w:val="en-US" w:eastAsia="zh-CN"/>
        </w:rPr>
        <w:t xml:space="preserve">扫描</w:t>
      </w:r>
      <w:r>
        <w:rPr>
          <w:rStyle w:val="1345"/>
          <w:rFonts w:hint="eastAsia" w:ascii="仿宋" w:hAnsi="仿宋" w:eastAsia="仿宋" w:cs="仿宋"/>
          <w:color w:val="auto"/>
          <w:sz w:val="24"/>
          <w:szCs w:val="24"/>
          <w:highlight w:val="none"/>
        </w:rPr>
        <w:t xml:space="preserve">件附后）</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特此声明。</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供应商人对上述声明的真实性负责。如有虚假，将依法承担相应责任。</w:t>
      </w:r>
      <w:r/>
    </w:p>
    <w:p>
      <w:pPr>
        <w:pStyle w:val="1075"/>
        <w:ind w:firstLine="972"/>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w:t>
      </w:r>
      <w:r/>
    </w:p>
    <w:p>
      <w:pPr>
        <w:pStyle w:val="1075"/>
        <w:ind w:firstLine="360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345"/>
          <w:rFonts w:hint="eastAsia" w:ascii="仿宋" w:hAnsi="仿宋" w:eastAsia="仿宋" w:cs="仿宋"/>
          <w:color w:val="auto"/>
          <w:sz w:val="24"/>
          <w:szCs w:val="24"/>
          <w:highlight w:val="none"/>
        </w:rPr>
        <w:t xml:space="preserve">：</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w:t>
      </w:r>
      <w:r/>
    </w:p>
    <w:p>
      <w:pPr>
        <w:pStyle w:val="1075"/>
        <w:ind w:firstLine="3600"/>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日期：</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15"/>
        <w:jc w:val="center"/>
        <w:keepLines w:val="0"/>
        <w:keepNext w:val="0"/>
        <w:pageBreakBefore w:val="0"/>
        <w:spacing w:line="312" w:lineRule="auto"/>
        <w:widowControl w:val="off"/>
        <w:rPr>
          <w:rStyle w:val="1345"/>
          <w:rFonts w:hint="eastAsia" w:ascii="仿宋" w:hAnsi="仿宋" w:eastAsia="仿宋" w:cs="仿宋"/>
          <w:color w:val="auto"/>
          <w:sz w:val="24"/>
          <w:szCs w:val="24"/>
          <w:highlight w:val="none"/>
        </w:rPr>
        <w:outlineLvl w:val="9"/>
      </w:pPr>
      <w:r/>
      <w:bookmarkStart w:id="65" w:name="_Toc80122311"/>
      <w:r>
        <w:rPr>
          <w:rStyle w:val="1345"/>
          <w:rFonts w:hint="eastAsia" w:ascii="仿宋" w:hAnsi="仿宋" w:eastAsia="仿宋" w:cs="仿宋"/>
          <w:color w:val="auto"/>
          <w:sz w:val="24"/>
          <w:szCs w:val="24"/>
          <w:highlight w:val="none"/>
        </w:rPr>
        <w:t xml:space="preserve">       </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outlineLvl w:val="9"/>
      </w:pPr>
      <w:r>
        <w:rPr>
          <w:rStyle w:val="1345"/>
          <w:rFonts w:hint="eastAsia" w:ascii="仿宋" w:hAnsi="仿宋" w:eastAsia="仿宋" w:cs="仿宋"/>
          <w:color w:val="auto"/>
          <w:sz w:val="24"/>
          <w:szCs w:val="24"/>
          <w:highlight w:val="none"/>
        </w:rPr>
        <w:br w:type="page" w:clear="all"/>
      </w:r>
      <w:bookmarkEnd w:id="65"/>
      <w:r/>
      <w:bookmarkStart w:id="66" w:name="_Toc6127"/>
      <w:r/>
      <w:r/>
    </w:p>
    <w:p>
      <w:pPr>
        <w:pStyle w:val="1075"/>
        <w:jc w:val="center"/>
        <w:pageBreakBefore w:val="0"/>
        <w:spacing w:line="312" w:lineRule="auto"/>
        <w:widowControl w:val="off"/>
        <w:rPr>
          <w:rStyle w:val="1345"/>
          <w:rFonts w:hint="eastAsia" w:ascii="仿宋" w:hAnsi="仿宋" w:eastAsia="仿宋" w:cs="仿宋"/>
          <w:b/>
          <w:bCs/>
          <w:color w:val="auto"/>
          <w:szCs w:val="24"/>
          <w:highlight w:val="none"/>
          <w:lang w:val="en-US" w:eastAsia="zh-CN" w:bidi="ar-SA"/>
        </w:rPr>
        <w:outlineLvl w:val="1"/>
      </w:pPr>
      <w:r/>
      <w:bookmarkStart w:id="67" w:name="_Toc17499"/>
      <w:r/>
      <w:bookmarkStart w:id="68" w:name="_Toc80122313"/>
      <w:r>
        <w:rPr>
          <w:rStyle w:val="1345"/>
          <w:rFonts w:hint="eastAsia" w:ascii="仿宋" w:hAnsi="仿宋" w:eastAsia="仿宋" w:cs="仿宋"/>
          <w:b/>
          <w:bCs/>
          <w:color w:val="auto"/>
          <w:szCs w:val="24"/>
          <w:highlight w:val="none"/>
          <w:lang w:val="en-US" w:eastAsia="zh-CN" w:bidi="ar-SA"/>
        </w:rPr>
        <w:t xml:space="preserve">十、供应商相关承诺</w:t>
      </w:r>
      <w:bookmarkEnd w:id="67"/>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项目名称：2025年徐州市新城区新移交市管道路绿地养护管理</w:t>
      </w:r>
      <w:r/>
    </w:p>
    <w:p>
      <w:pPr>
        <w:pStyle w:val="1075"/>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项目编号：</w:t>
      </w:r>
      <w:r>
        <w:rPr>
          <w:rFonts w:hint="eastAsia" w:ascii="仿宋" w:hAnsi="仿宋" w:eastAsia="仿宋" w:cs="仿宋"/>
          <w:color w:val="auto"/>
          <w:sz w:val="24"/>
          <w:szCs w:val="24"/>
          <w:highlight w:val="none"/>
          <w:lang w:eastAsia="zh-CN" w:bidi="ar"/>
        </w:rPr>
        <w:t xml:space="preserve">JSZC-320300-JSKJ-C2025-0066</w:t>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ind w:firstLine="480"/>
        <w:jc w:val="both"/>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我单位承诺：</w:t>
      </w:r>
      <w:r/>
    </w:p>
    <w:p>
      <w:pPr>
        <w:pStyle w:val="1075"/>
        <w:ind w:left="0" w:firstLine="480"/>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如有参与同一合同项下政府采购活动的供应商与我单位存在负责人为同一人的情况或者存在直接控股、管理关系，我单位不再参加该同一合同项下的政府采购活动。</w:t>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ind w:firstLine="480"/>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我单位对上述承诺负责，并依法承担相应责任。</w:t>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jc w:val="center"/>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pStyle w:val="1075"/>
        <w:ind w:firstLine="360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345"/>
          <w:rFonts w:hint="eastAsia" w:ascii="仿宋" w:hAnsi="仿宋" w:eastAsia="仿宋" w:cs="仿宋"/>
          <w:color w:val="auto"/>
          <w:sz w:val="24"/>
          <w:szCs w:val="24"/>
          <w:highlight w:val="none"/>
        </w:rPr>
        <w:t xml:space="preserve">：</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                                </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outlineLvl w:val="9"/>
      </w:pPr>
      <w:r>
        <w:rPr>
          <w:rStyle w:val="1345"/>
          <w:rFonts w:hint="eastAsia" w:ascii="仿宋" w:hAnsi="仿宋" w:eastAsia="仿宋" w:cs="仿宋"/>
          <w:color w:val="auto"/>
          <w:sz w:val="24"/>
          <w:szCs w:val="24"/>
          <w:highlight w:val="none"/>
        </w:rPr>
        <w:t xml:space="preserve">日期：</w:t>
      </w:r>
      <w:r/>
    </w:p>
    <w:p>
      <w:pPr>
        <w:pStyle w:val="1076"/>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7"/>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5"/>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6"/>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7"/>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5"/>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6"/>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7"/>
        <w:rPr>
          <w:rFonts w:hint="eastAsia"/>
          <w:color w:val="auto"/>
          <w:highlight w:val="none"/>
        </w:rPr>
        <w:outlineLvl w:val="9"/>
      </w:pPr>
      <w:r>
        <w:rPr>
          <w:rFonts w:hint="eastAsia"/>
          <w:color w:val="auto"/>
          <w:highlight w:val="none"/>
        </w:rPr>
      </w:r>
      <w:r/>
    </w:p>
    <w:p>
      <w:pPr>
        <w:pStyle w:val="1075"/>
        <w:rPr>
          <w:rFonts w:hint="eastAsia"/>
          <w:color w:val="auto"/>
          <w:highlight w:val="none"/>
        </w:rPr>
        <w:outlineLvl w:val="9"/>
      </w:pPr>
      <w:r>
        <w:rPr>
          <w:rFonts w:hint="eastAsia"/>
          <w:color w:val="auto"/>
          <w:highlight w:val="none"/>
        </w:rPr>
      </w:r>
      <w:r/>
    </w:p>
    <w:p>
      <w:pPr>
        <w:pStyle w:val="1076"/>
        <w:rPr>
          <w:rFonts w:hint="eastAsia"/>
          <w:color w:val="auto"/>
          <w:highlight w:val="none"/>
        </w:rPr>
        <w:outlineLvl w:val="9"/>
      </w:pPr>
      <w:r>
        <w:rPr>
          <w:rFonts w:hint="eastAsia"/>
          <w:color w:val="auto"/>
          <w:highlight w:val="none"/>
        </w:rPr>
      </w:r>
      <w:r/>
    </w:p>
    <w:p>
      <w:pPr>
        <w:pStyle w:val="1077"/>
        <w:rPr>
          <w:rFonts w:hint="eastAsia"/>
          <w:color w:val="auto"/>
          <w:highlight w:val="none"/>
        </w:rPr>
        <w:outlineLvl w:val="9"/>
      </w:pPr>
      <w:r>
        <w:rPr>
          <w:rFonts w:hint="eastAsia"/>
          <w:color w:val="auto"/>
          <w:highlight w:val="none"/>
        </w:rPr>
      </w:r>
      <w:r/>
    </w:p>
    <w:p>
      <w:pPr>
        <w:pStyle w:val="1075"/>
        <w:rPr>
          <w:rFonts w:hint="eastAsia"/>
          <w:color w:val="auto"/>
          <w:highlight w:val="none"/>
        </w:rPr>
        <w:outlineLvl w:val="9"/>
      </w:pPr>
      <w:r>
        <w:rPr>
          <w:rFonts w:hint="eastAsia"/>
          <w:color w:val="auto"/>
          <w:highlight w:val="none"/>
        </w:rPr>
      </w:r>
      <w:r/>
    </w:p>
    <w:p>
      <w:pPr>
        <w:pStyle w:val="1076"/>
        <w:rPr>
          <w:rFonts w:hint="eastAsia"/>
          <w:color w:val="auto"/>
          <w:highlight w:val="none"/>
        </w:rPr>
        <w:outlineLvl w:val="9"/>
      </w:pPr>
      <w:r>
        <w:rPr>
          <w:rFonts w:hint="eastAsia"/>
          <w:color w:val="auto"/>
          <w:highlight w:val="none"/>
        </w:rPr>
      </w:r>
      <w:r/>
    </w:p>
    <w:p>
      <w:pPr>
        <w:pStyle w:val="1077"/>
        <w:rPr>
          <w:rFonts w:hint="eastAsia"/>
          <w:color w:val="auto"/>
          <w:highlight w:val="none"/>
        </w:rPr>
        <w:outlineLvl w:val="9"/>
      </w:pPr>
      <w:r>
        <w:rPr>
          <w:rFonts w:hint="eastAsia"/>
          <w:color w:val="auto"/>
          <w:highlight w:val="none"/>
        </w:rPr>
      </w:r>
      <w:r/>
    </w:p>
    <w:p>
      <w:pPr>
        <w:pStyle w:val="1075"/>
        <w:rPr>
          <w:rFonts w:hint="eastAsia"/>
          <w:color w:val="auto"/>
          <w:highlight w:val="none"/>
        </w:rPr>
        <w:outlineLvl w:val="9"/>
      </w:pPr>
      <w:r>
        <w:rPr>
          <w:rFonts w:hint="eastAsia"/>
          <w:color w:val="auto"/>
          <w:highlight w:val="none"/>
        </w:rPr>
      </w:r>
      <w:r/>
    </w:p>
    <w:p>
      <w:pPr>
        <w:pStyle w:val="1076"/>
        <w:rPr>
          <w:rFonts w:hint="eastAsia"/>
          <w:color w:val="auto"/>
          <w:highlight w:val="none"/>
        </w:rPr>
        <w:outlineLvl w:val="9"/>
      </w:pPr>
      <w:r>
        <w:rPr>
          <w:rFonts w:hint="eastAsia"/>
          <w:color w:val="auto"/>
          <w:highlight w:val="none"/>
        </w:rPr>
      </w:r>
      <w:r/>
    </w:p>
    <w:p>
      <w:pPr>
        <w:pStyle w:val="1075"/>
        <w:jc w:val="center"/>
        <w:pageBreakBefore w:val="0"/>
        <w:spacing w:line="312" w:lineRule="auto"/>
        <w:widowControl w:val="off"/>
        <w:rPr>
          <w:rStyle w:val="1345"/>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1075"/>
        <w:jc w:val="center"/>
        <w:pageBreakBefore w:val="0"/>
        <w:spacing w:line="312" w:lineRule="auto"/>
        <w:widowControl w:val="off"/>
        <w:rPr>
          <w:rStyle w:val="1345"/>
          <w:rFonts w:hint="eastAsia" w:ascii="仿宋" w:hAnsi="仿宋" w:eastAsia="仿宋" w:cs="仿宋"/>
          <w:b/>
          <w:bCs/>
          <w:color w:val="auto"/>
          <w:sz w:val="24"/>
          <w:szCs w:val="24"/>
          <w:highlight w:val="none"/>
          <w:lang w:val="en-US" w:eastAsia="zh-CN"/>
        </w:rPr>
        <w:sectPr>
          <w:footerReference w:type="default" r:id="rId19"/>
          <w:footerReference w:type="first" r:id="rId20"/>
          <w:footnotePr/>
          <w:endnotePr/>
          <w:type w:val="nextPage"/>
          <w:pgSz w:w="11906" w:h="16838" w:orient="portrait"/>
          <w:pgMar w:top="1440" w:right="1080" w:bottom="1440" w:left="1300" w:header="851" w:footer="992" w:gutter="0"/>
          <w:pgNumType w:start="31"/>
          <w:cols w:num="1" w:sep="0" w:space="720" w:equalWidth="1"/>
          <w:docGrid w:linePitch="360"/>
          <w:titlePg/>
        </w:sectPr>
        <w:outlineLvl w:val="1"/>
      </w:pPr>
      <w:r>
        <w:rPr>
          <w:rFonts w:hint="eastAsia" w:ascii="仿宋" w:hAnsi="仿宋" w:eastAsia="仿宋" w:cs="仿宋"/>
          <w:b/>
          <w:bCs/>
          <w:color w:val="auto"/>
          <w:sz w:val="24"/>
          <w:szCs w:val="24"/>
          <w:highlight w:val="none"/>
          <w:lang w:val="en-US" w:eastAsia="zh-CN"/>
        </w:rPr>
      </w:r>
      <w:r/>
    </w:p>
    <w:p>
      <w:pPr>
        <w:pStyle w:val="1075"/>
        <w:numPr>
          <w:ilvl w:val="0"/>
          <w:numId w:val="0"/>
        </w:numPr>
        <w:jc w:val="center"/>
        <w:pageBreakBefore w:val="0"/>
        <w:spacing w:line="312" w:lineRule="auto"/>
        <w:widowControl w:val="off"/>
        <w:rPr>
          <w:rStyle w:val="1345"/>
          <w:rFonts w:hint="eastAsia" w:ascii="仿宋" w:hAnsi="仿宋" w:eastAsia="仿宋" w:cs="仿宋"/>
          <w:b/>
          <w:bCs/>
          <w:color w:val="auto"/>
          <w:sz w:val="24"/>
          <w:szCs w:val="24"/>
          <w:highlight w:val="none"/>
          <w:lang w:val="en-US" w:eastAsia="zh-CN"/>
        </w:rPr>
        <w:outlineLvl w:val="1"/>
      </w:pPr>
      <w:r/>
      <w:bookmarkStart w:id="69" w:name="_Toc14100"/>
      <w:r>
        <w:rPr>
          <w:rFonts w:hint="eastAsia" w:ascii="仿宋" w:hAnsi="仿宋" w:eastAsia="仿宋" w:cs="仿宋"/>
          <w:b/>
          <w:bCs/>
          <w:color w:val="auto"/>
          <w:sz w:val="24"/>
          <w:szCs w:val="24"/>
          <w:highlight w:val="none"/>
          <w:lang w:val="en-US" w:eastAsia="zh-CN" w:bidi="ar-SA"/>
        </w:rPr>
        <w:t xml:space="preserve">十一、</w:t>
      </w:r>
      <w:r>
        <w:rPr>
          <w:rStyle w:val="1345"/>
          <w:rFonts w:hint="eastAsia" w:ascii="仿宋" w:hAnsi="仿宋" w:eastAsia="仿宋" w:cs="仿宋"/>
          <w:b/>
          <w:bCs/>
          <w:color w:val="auto"/>
          <w:sz w:val="24"/>
          <w:szCs w:val="24"/>
          <w:highlight w:val="none"/>
          <w:lang w:val="en-US" w:eastAsia="zh-CN"/>
        </w:rPr>
        <w:t xml:space="preserve">供应商书面声明</w:t>
      </w:r>
      <w:bookmarkEnd w:id="69"/>
      <w:r/>
      <w:r/>
    </w:p>
    <w:p>
      <w:pPr>
        <w:pStyle w:val="1076"/>
        <w:numPr>
          <w:ilvl w:val="0"/>
          <w:numId w:val="0"/>
        </w:numPr>
        <w:ind w:right="6"/>
        <w:jc w:val="both"/>
        <w:widowControl w:val="off"/>
        <w:rPr>
          <w:rFonts w:hint="default"/>
          <w:color w:val="auto"/>
          <w:highlight w:val="none"/>
          <w:lang w:val="en-US" w:eastAsia="zh-CN"/>
        </w:rPr>
      </w:pPr>
      <w:r>
        <w:rPr>
          <w:rFonts w:hint="default"/>
          <w:color w:val="auto"/>
          <w:highlight w:val="none"/>
          <w:lang w:val="en-US" w:eastAsia="zh-CN"/>
        </w:rPr>
      </w:r>
      <w:r/>
    </w:p>
    <w:p>
      <w:pPr>
        <w:pStyle w:val="1075"/>
        <w:jc w:val="both"/>
        <w:pageBreakBefore w:val="0"/>
        <w:spacing w:line="312"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项目名称：2025年徐州市新城区新移交市管道路绿地养护管理</w:t>
      </w:r>
      <w:r/>
    </w:p>
    <w:p>
      <w:pPr>
        <w:pStyle w:val="1077"/>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val="en-US" w:eastAsia="zh-CN" w:bidi="ar-SA"/>
        </w:rPr>
        <w:t xml:space="preserve">项目编号：</w:t>
      </w:r>
      <w:r>
        <w:rPr>
          <w:rFonts w:hint="eastAsia" w:ascii="仿宋" w:hAnsi="仿宋" w:eastAsia="仿宋" w:cs="仿宋"/>
          <w:b w:val="0"/>
          <w:bCs w:val="0"/>
          <w:color w:val="auto"/>
          <w:sz w:val="24"/>
          <w:szCs w:val="24"/>
          <w:highlight w:val="none"/>
          <w:lang w:eastAsia="zh-CN" w:bidi="ar"/>
        </w:rPr>
        <w:t xml:space="preserve">JSZC-320300-JSKJ-C2025-0066</w:t>
      </w:r>
      <w:r/>
    </w:p>
    <w:p>
      <w:pPr>
        <w:pStyle w:val="1075"/>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eastAsia="zh-CN" w:bidi="ar"/>
        </w:rPr>
      </w:r>
      <w:r/>
    </w:p>
    <w:p>
      <w:pPr>
        <w:pStyle w:val="1076"/>
        <w:rPr>
          <w:rFonts w:hint="eastAsia" w:ascii="仿宋" w:hAnsi="仿宋" w:eastAsia="仿宋" w:cs="仿宋"/>
          <w:b w:val="0"/>
          <w:bCs w:val="0"/>
          <w:color w:val="auto"/>
          <w:sz w:val="24"/>
          <w:szCs w:val="24"/>
          <w:highlight w:val="none"/>
          <w:lang w:eastAsia="zh-CN" w:bidi="ar"/>
        </w:rPr>
        <w:outlineLvl w:val="9"/>
      </w:pPr>
      <w:r>
        <w:rPr>
          <w:rFonts w:hint="eastAsia" w:ascii="仿宋" w:hAnsi="仿宋" w:eastAsia="仿宋" w:cs="仿宋"/>
          <w:b w:val="0"/>
          <w:bCs w:val="0"/>
          <w:color w:val="auto"/>
          <w:sz w:val="24"/>
          <w:szCs w:val="24"/>
          <w:highlight w:val="none"/>
          <w:lang w:eastAsia="zh-CN" w:bidi="ar"/>
        </w:rPr>
      </w:r>
      <w:r/>
    </w:p>
    <w:p>
      <w:pPr>
        <w:pStyle w:val="1077"/>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我单位不是为本采购项目提供整体设计、规范编制或者项目管理、监理、检测等服务的供应商。</w:t>
      </w:r>
      <w:r/>
    </w:p>
    <w:p>
      <w:pPr>
        <w:pStyle w:val="1077"/>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特此声明。</w:t>
      </w:r>
      <w:r/>
    </w:p>
    <w:p>
      <w:pPr>
        <w:pStyle w:val="1077"/>
        <w:ind w:firstLine="480"/>
        <w:keepLines/>
        <w:keepNext/>
        <w:pageBreakBefore w:val="0"/>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我单位对上述声明的真实性负责。如有虚假，将依法承担相应责任。</w:t>
      </w:r>
      <w:r/>
    </w:p>
    <w:p>
      <w:pPr>
        <w:pStyle w:val="1075"/>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p>
      <w:pPr>
        <w:pStyle w:val="1076"/>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p>
      <w:pPr>
        <w:pStyle w:val="1075"/>
        <w:ind w:firstLine="3600"/>
        <w:jc w:val="left"/>
        <w:pageBreakBefore w:val="0"/>
        <w:spacing w:line="312" w:lineRule="auto"/>
        <w:widowControl w:val="off"/>
        <w:rPr>
          <w:rStyle w:val="1345"/>
          <w:rFonts w:hint="eastAsia" w:ascii="仿宋" w:hAnsi="仿宋" w:eastAsia="仿宋" w:cs="仿宋"/>
          <w:color w:val="auto"/>
          <w:sz w:val="24"/>
          <w:szCs w:val="24"/>
          <w:highlight w:val="none"/>
        </w:rPr>
        <w:outlineLvl w:val="9"/>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rPr>
          <w:rStyle w:val="1345"/>
          <w:rFonts w:hint="eastAsia" w:ascii="仿宋" w:hAnsi="仿宋" w:eastAsia="仿宋" w:cs="仿宋"/>
          <w:color w:val="auto"/>
          <w:sz w:val="24"/>
          <w:szCs w:val="24"/>
          <w:highlight w:val="none"/>
        </w:rPr>
        <w:t xml:space="preserve">：</w:t>
      </w:r>
      <w:r/>
    </w:p>
    <w:p>
      <w:pPr>
        <w:pStyle w:val="1075"/>
        <w:jc w:val="left"/>
        <w:pageBreakBefore w:val="0"/>
        <w:spacing w:line="312" w:lineRule="auto"/>
        <w:widowControl w:val="off"/>
        <w:rPr>
          <w:rStyle w:val="1345"/>
          <w:rFonts w:hint="eastAsia" w:ascii="仿宋" w:hAnsi="仿宋" w:eastAsia="仿宋" w:cs="仿宋"/>
          <w:color w:val="auto"/>
          <w:sz w:val="24"/>
          <w:szCs w:val="24"/>
          <w:highlight w:val="none"/>
        </w:rPr>
        <w:outlineLvl w:val="9"/>
      </w:pPr>
      <w:r>
        <w:rPr>
          <w:rStyle w:val="1345"/>
          <w:rFonts w:hint="eastAsia" w:ascii="仿宋" w:hAnsi="仿宋" w:eastAsia="仿宋" w:cs="仿宋"/>
          <w:color w:val="auto"/>
          <w:sz w:val="24"/>
          <w:szCs w:val="24"/>
          <w:highlight w:val="none"/>
        </w:rPr>
        <w:t xml:space="preserve">                                </w:t>
      </w:r>
      <w:r/>
    </w:p>
    <w:p>
      <w:pPr>
        <w:pStyle w:val="1075"/>
        <w:jc w:val="center"/>
        <w:pageBreakBefore w:val="0"/>
        <w:spacing w:line="312" w:lineRule="auto"/>
        <w:widowControl w:val="off"/>
        <w:rPr>
          <w:rStyle w:val="1345"/>
          <w:rFonts w:hint="eastAsia" w:ascii="仿宋" w:hAnsi="仿宋" w:eastAsia="仿宋" w:cs="仿宋"/>
          <w:color w:val="auto"/>
          <w:sz w:val="24"/>
          <w:szCs w:val="24"/>
          <w:highlight w:val="none"/>
        </w:rPr>
        <w:outlineLvl w:val="9"/>
      </w:pPr>
      <w:r>
        <w:rPr>
          <w:rStyle w:val="1345"/>
          <w:rFonts w:hint="eastAsia" w:ascii="仿宋" w:hAnsi="仿宋" w:eastAsia="仿宋" w:cs="仿宋"/>
          <w:color w:val="auto"/>
          <w:sz w:val="24"/>
          <w:szCs w:val="24"/>
          <w:highlight w:val="none"/>
        </w:rPr>
        <w:t xml:space="preserve">日期：</w:t>
      </w:r>
      <w:r/>
    </w:p>
    <w:p>
      <w:pPr>
        <w:pStyle w:val="1077"/>
        <w:rPr>
          <w:rFonts w:hint="eastAsia"/>
          <w:color w:val="auto"/>
          <w:highlight w:val="none"/>
          <w:lang w:val="en-US" w:eastAsia="zh-CN"/>
        </w:rPr>
        <w:sectPr>
          <w:footnotePr/>
          <w:endnotePr/>
          <w:type w:val="nextPage"/>
          <w:pgSz w:w="11906" w:h="16838" w:orient="portrait"/>
          <w:pgMar w:top="1440" w:right="1080" w:bottom="1440" w:left="1300" w:header="851" w:footer="992" w:gutter="0"/>
          <w:pgNumType w:start="31"/>
          <w:cols w:num="1" w:sep="0" w:space="720" w:equalWidth="1"/>
          <w:docGrid w:linePitch="360"/>
          <w:titlePg/>
        </w:sectPr>
        <w:outlineLvl w:val="9"/>
      </w:pPr>
      <w:r>
        <w:rPr>
          <w:rFonts w:hint="eastAsia"/>
          <w:color w:val="auto"/>
          <w:highlight w:val="none"/>
          <w:lang w:val="en-US" w:eastAsia="zh-CN"/>
        </w:rPr>
      </w:r>
      <w:r/>
    </w:p>
    <w:p>
      <w:pPr>
        <w:jc w:val="center"/>
        <w:keepLines w:val="0"/>
        <w:keepNext w:val="0"/>
        <w:pageBreakBefore w:val="0"/>
        <w:spacing w:line="360" w:lineRule="auto"/>
        <w:rPr>
          <w:rStyle w:val="1345"/>
          <w:rFonts w:hint="eastAsia" w:ascii="仿宋" w:hAnsi="仿宋" w:eastAsia="仿宋" w:cs="仿宋"/>
          <w:b/>
          <w:bCs/>
          <w:color w:val="auto"/>
          <w:szCs w:val="24"/>
          <w:highlight w:val="none"/>
          <w:lang w:val="en-US" w:eastAsia="zh-CN" w:bidi="ar-SA"/>
        </w:rPr>
        <w:outlineLvl w:val="1"/>
      </w:pPr>
      <w:r/>
      <w:bookmarkStart w:id="70" w:name="_Toc26683"/>
      <w:r>
        <w:rPr>
          <w:rStyle w:val="1345"/>
          <w:rFonts w:hint="eastAsia" w:ascii="仿宋" w:hAnsi="仿宋" w:eastAsia="仿宋" w:cs="仿宋"/>
          <w:b/>
          <w:bCs/>
          <w:color w:val="auto"/>
          <w:szCs w:val="24"/>
          <w:highlight w:val="none"/>
          <w:lang w:val="en-US" w:eastAsia="zh-CN" w:bidi="ar-SA"/>
        </w:rPr>
        <w:t xml:space="preserve">十二、</w:t>
      </w:r>
      <w:bookmarkEnd w:id="66"/>
      <w:r/>
      <w:bookmarkEnd w:id="68"/>
      <w:r/>
      <w:bookmarkStart w:id="71" w:name="_Toc80122314"/>
      <w:r>
        <w:rPr>
          <w:rStyle w:val="1345"/>
          <w:rFonts w:hint="eastAsia" w:ascii="仿宋" w:hAnsi="仿宋" w:eastAsia="仿宋" w:cs="仿宋"/>
          <w:b/>
          <w:bCs/>
          <w:color w:val="auto"/>
          <w:szCs w:val="24"/>
          <w:highlight w:val="none"/>
          <w:lang w:val="en-US" w:eastAsia="zh-CN" w:bidi="ar-SA"/>
        </w:rPr>
        <w:t xml:space="preserve">项目总负责人简历表</w:t>
      </w:r>
      <w:bookmarkEnd w:id="70"/>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bl>
      <w:tblPr>
        <w:tblStyle w:val="10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2013"/>
        <w:gridCol w:w="1726"/>
        <w:gridCol w:w="1440"/>
        <w:gridCol w:w="1296"/>
        <w:gridCol w:w="1904"/>
      </w:tblGrid>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hRule="exact"/>
        </w:trPr>
        <w:tc>
          <w:tcPr>
            <w:tcW w:w="700"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w:t>
            </w:r>
            <w:r/>
          </w:p>
        </w:tc>
        <w:tc>
          <w:tcPr>
            <w:tcW w:w="1033"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739"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65" w:type="pct"/>
            <w:textDirection w:val="lrTb"/>
            <w:noWrap w:val="false"/>
          </w:tcPr>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6" w:type="pct"/>
            <w:textDirection w:val="lrTb"/>
            <w:noWrap w:val="false"/>
          </w:tcPr>
          <w:p>
            <w:pPr>
              <w:ind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gridSpan w:val="6"/>
            <w:tcW w:w="5000" w:type="pct"/>
            <w:textDirection w:val="lrTb"/>
            <w:noWrap w:val="false"/>
          </w:tcPr>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主要业绩（须提供证明资料）：</w:t>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75"/>
        <w:jc w:val="left"/>
        <w:pageBreakBefore w:val="0"/>
        <w:spacing w:line="312"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注：项目总负责人必须具有园林绿化工程师及以上职称证书，或者园林绿化高级工及以上资格证书，且以上证书的聘用企业必须为</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文件中必须提供项目总负责人的证书扫描件。</w:t>
      </w:r>
      <w:r>
        <w:rPr>
          <w:rFonts w:hint="eastAsia" w:ascii="仿宋" w:hAnsi="仿宋" w:eastAsia="仿宋" w:cs="仿宋"/>
          <w:color w:val="auto"/>
          <w:sz w:val="24"/>
          <w:szCs w:val="24"/>
          <w:highlight w:val="none"/>
        </w:rPr>
        <w:t xml:space="preserve">项目总负责人在项目履约过程中不得擅自更换。</w:t>
      </w:r>
      <w:r/>
    </w:p>
    <w:p>
      <w:pPr>
        <w:pStyle w:val="1076"/>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5"/>
        <w:ind w:firstLine="504"/>
        <w:jc w:val="left"/>
        <w:pageBreakBefore w:val="0"/>
        <w:spacing w:line="312" w:lineRule="auto"/>
        <w:widowControl w:val="off"/>
        <w:rPr>
          <w:rStyle w:val="1345"/>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77"/>
        <w:jc w:val="center"/>
        <w:rPr>
          <w:rFonts w:hint="eastAsia" w:ascii="仿宋" w:hAnsi="仿宋" w:eastAsia="仿宋" w:cs="仿宋"/>
          <w:color w:val="auto"/>
          <w:sz w:val="24"/>
          <w:szCs w:val="24"/>
          <w:highlight w:val="none"/>
        </w:rPr>
        <w:outlineLvl w:val="9"/>
      </w:pPr>
      <w:r>
        <w:rPr>
          <w:rStyle w:val="1345"/>
          <w:rFonts w:hint="eastAsia" w:ascii="仿宋" w:hAnsi="仿宋" w:eastAsia="仿宋" w:cs="仿宋"/>
          <w:b w:val="0"/>
          <w:bCs w:val="0"/>
          <w:color w:val="auto"/>
          <w:sz w:val="24"/>
          <w:szCs w:val="24"/>
          <w:highlight w:val="none"/>
          <w:lang w:val="en-US" w:eastAsia="zh-CN"/>
        </w:rPr>
        <w:t xml:space="preserve">  </w:t>
      </w:r>
      <w:r>
        <w:rPr>
          <w:rStyle w:val="1345"/>
          <w:rFonts w:hint="eastAsia" w:ascii="仿宋" w:hAnsi="仿宋" w:eastAsia="仿宋" w:cs="仿宋"/>
          <w:b w:val="0"/>
          <w:bCs w:val="0"/>
          <w:color w:val="auto"/>
          <w:sz w:val="24"/>
          <w:szCs w:val="24"/>
          <w:highlight w:val="none"/>
        </w:rPr>
        <w:t xml:space="preserve">日期：</w:t>
      </w:r>
      <w:r/>
    </w:p>
    <w:p>
      <w:pPr>
        <w:pStyle w:val="1075"/>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6"/>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7"/>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5"/>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76"/>
        <w:rPr>
          <w:rFonts w:hint="eastAsia"/>
          <w:color w:val="auto"/>
          <w:highlight w:val="none"/>
        </w:rPr>
      </w:pPr>
      <w:r>
        <w:rPr>
          <w:rFonts w:hint="eastAsia"/>
          <w:color w:val="auto"/>
          <w:highlight w:val="none"/>
        </w:rPr>
      </w:r>
      <w:r/>
    </w:p>
    <w:p>
      <w:pPr>
        <w:pStyle w:val="1076"/>
        <w:rPr>
          <w:rFonts w:hint="eastAsia"/>
          <w:color w:val="auto"/>
          <w:highlight w:val="none"/>
        </w:rPr>
        <w:outlineLvl w:val="9"/>
      </w:pPr>
      <w:r>
        <w:rPr>
          <w:rFonts w:hint="eastAsia"/>
          <w:color w:val="auto"/>
          <w:highlight w:val="none"/>
        </w:rPr>
      </w:r>
      <w:r/>
    </w:p>
    <w:p>
      <w:pPr>
        <w:pStyle w:val="1076"/>
        <w:rPr>
          <w:rStyle w:val="1345"/>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jc w:val="center"/>
        <w:keepLines w:val="0"/>
        <w:keepNext w:val="0"/>
        <w:pageBreakBefore w:val="0"/>
        <w:spacing w:line="360" w:lineRule="auto"/>
        <w:rPr>
          <w:rStyle w:val="1345"/>
          <w:rFonts w:hint="eastAsia" w:ascii="仿宋" w:hAnsi="仿宋" w:eastAsia="仿宋" w:cs="仿宋"/>
          <w:b/>
          <w:bCs/>
          <w:color w:val="auto"/>
          <w:szCs w:val="24"/>
          <w:highlight w:val="none"/>
          <w:lang w:val="en-US" w:eastAsia="zh-CN" w:bidi="ar-SA"/>
        </w:rPr>
        <w:outlineLvl w:val="1"/>
      </w:pPr>
      <w:r/>
      <w:bookmarkStart w:id="72" w:name="_Toc14214"/>
      <w:r/>
      <w:bookmarkStart w:id="73" w:name="_Toc27950"/>
      <w:r>
        <w:rPr>
          <w:rStyle w:val="1345"/>
          <w:rFonts w:hint="eastAsia" w:ascii="仿宋" w:hAnsi="仿宋" w:eastAsia="仿宋" w:cs="仿宋"/>
          <w:b/>
          <w:bCs/>
          <w:color w:val="auto"/>
          <w:szCs w:val="24"/>
          <w:highlight w:val="none"/>
          <w:lang w:val="en-US" w:eastAsia="zh-CN" w:bidi="ar-SA"/>
        </w:rPr>
        <w:t xml:space="preserve">十三 、1工作人员配备要求</w:t>
      </w:r>
      <w:bookmarkEnd w:id="72"/>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人员配备：（表格根据供应商情况自行删减）</w:t>
      </w:r>
      <w:r/>
    </w:p>
    <w:tbl>
      <w:tblPr>
        <w:tblStyle w:val="1106"/>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965"/>
        <w:gridCol w:w="728"/>
        <w:gridCol w:w="772"/>
        <w:gridCol w:w="2570"/>
        <w:gridCol w:w="1530"/>
        <w:gridCol w:w="1010"/>
        <w:gridCol w:w="1585"/>
      </w:tblGrid>
      <w:tr>
        <w:trPr>
          <w:jc w:val="center"/>
          <w:trHeight w:val="454"/>
        </w:trPr>
        <w:tc>
          <w:tcPr>
            <w:tcW w:w="761"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序号</w:t>
            </w:r>
            <w:r/>
          </w:p>
        </w:tc>
        <w:tc>
          <w:tcPr>
            <w:tcW w:w="96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姓名</w:t>
            </w:r>
            <w:r/>
          </w:p>
        </w:tc>
        <w:tc>
          <w:tcPr>
            <w:tcW w:w="728"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性别</w:t>
            </w:r>
            <w:r/>
          </w:p>
        </w:tc>
        <w:tc>
          <w:tcPr>
            <w:tcW w:w="772"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年龄</w:t>
            </w:r>
            <w:r/>
          </w:p>
        </w:tc>
        <w:tc>
          <w:tcPr>
            <w:tcW w:w="257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身份证号</w:t>
            </w:r>
            <w:r/>
          </w:p>
        </w:tc>
        <w:tc>
          <w:tcPr>
            <w:tcW w:w="153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岗位</w:t>
            </w:r>
            <w:r/>
          </w:p>
        </w:tc>
        <w:tc>
          <w:tcPr>
            <w:tcW w:w="101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职称</w:t>
            </w:r>
            <w:r/>
          </w:p>
        </w:tc>
        <w:tc>
          <w:tcPr>
            <w:tcW w:w="158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 xml:space="preserve">证书编号</w:t>
            </w:r>
            <w:r/>
          </w:p>
        </w:tc>
      </w:tr>
      <w:tr>
        <w:trPr>
          <w:jc w:val="center"/>
          <w:trHeight w:val="454"/>
        </w:trPr>
        <w:tc>
          <w:tcPr>
            <w:tcW w:w="761"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57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530" w:type="dxa"/>
            <w:vAlign w:val="center"/>
            <w:textDirection w:val="lrTb"/>
            <w:noWrap w:val="false"/>
          </w:tcPr>
          <w:p>
            <w:pPr>
              <w:ind w:firstLine="0"/>
              <w:jc w:val="center"/>
              <w:spacing w:after="0" w:line="30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项目总</w:t>
            </w:r>
            <w:r/>
          </w:p>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bidi="ar-SA"/>
              </w:rPr>
              <w:t xml:space="preserve">负责人</w:t>
            </w:r>
            <w:r/>
          </w:p>
        </w:tc>
        <w:tc>
          <w:tcPr>
            <w:tcW w:w="101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57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53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技术员（兼现场负责人）</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57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53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质检员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57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53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安全员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57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53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rPr>
              <w:t xml:space="preserve">资料员</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r>
        <w:trPr>
          <w:jc w:val="center"/>
          <w:trHeight w:val="454"/>
        </w:trPr>
        <w:tc>
          <w:tcPr>
            <w:tcW w:w="761"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965" w:type="dxa"/>
            <w:vAlign w:val="center"/>
            <w:textDirection w:val="lrTb"/>
            <w:noWrap w:val="false"/>
          </w:tcPr>
          <w:p>
            <w:pPr>
              <w:spacing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28"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772"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257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shd w:val="clear" w:color="auto" w:fill="auto"/>
            <w:tcW w:w="1530" w:type="dxa"/>
            <w:vAlign w:val="center"/>
            <w:textDirection w:val="lrTb"/>
            <w:noWrap w:val="false"/>
          </w:tcPr>
          <w:p>
            <w:pPr>
              <w:jc w:val="center"/>
              <w:spacing w:after="0"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专职园林园艺修剪人数</w:t>
            </w:r>
            <w:r/>
          </w:p>
        </w:tc>
        <w:tc>
          <w:tcPr>
            <w:tcW w:w="1010"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c>
          <w:tcPr>
            <w:tcW w:w="1585" w:type="dxa"/>
            <w:vAlign w:val="center"/>
            <w:textDirection w:val="lrTb"/>
            <w:noWrap w:val="false"/>
          </w:tcPr>
          <w:p>
            <w:pPr>
              <w:spacing w:after="0" w:line="240" w:lineRule="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r>
            <w:r/>
          </w:p>
        </w:tc>
      </w:tr>
    </w:tbl>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1075"/>
        <w:jc w:val="left"/>
        <w:pageBreakBefore w:val="0"/>
        <w:spacing w:line="312" w:lineRule="auto"/>
        <w:widowControl w:val="off"/>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须提供采购需求中满足人员数量要求的项目总负责人、技术员、质检员、安全员、资料员、专职园林修剪工的相应职称</w:t>
      </w:r>
      <w:r>
        <w:rPr>
          <w:rFonts w:hint="eastAsia" w:ascii="仿宋" w:hAnsi="仿宋" w:eastAsia="仿宋" w:cs="仿宋"/>
          <w:color w:val="auto"/>
          <w:sz w:val="24"/>
          <w:highlight w:val="none"/>
          <w:lang w:val="en-US" w:eastAsia="zh-CN"/>
        </w:rPr>
        <w:t xml:space="preserve">资格证书及近6个月内任意一个月社保证明扫描件。</w:t>
      </w:r>
      <w:r/>
    </w:p>
    <w:p>
      <w:pPr>
        <w:pStyle w:val="107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77"/>
        <w:jc w:val="center"/>
        <w:rPr>
          <w:rFonts w:hint="eastAsia" w:ascii="仿宋" w:hAnsi="仿宋" w:eastAsia="仿宋" w:cs="仿宋"/>
          <w:color w:val="auto"/>
          <w:sz w:val="24"/>
          <w:szCs w:val="24"/>
          <w:highlight w:val="none"/>
        </w:rPr>
        <w:outlineLvl w:val="9"/>
      </w:pPr>
      <w:r>
        <w:rPr>
          <w:rStyle w:val="1345"/>
          <w:rFonts w:hint="eastAsia" w:ascii="仿宋" w:hAnsi="仿宋" w:eastAsia="仿宋" w:cs="仿宋"/>
          <w:b w:val="0"/>
          <w:bCs w:val="0"/>
          <w:color w:val="auto"/>
          <w:sz w:val="24"/>
          <w:szCs w:val="24"/>
          <w:highlight w:val="none"/>
          <w:lang w:val="en-US" w:eastAsia="zh-CN"/>
        </w:rPr>
        <w:t xml:space="preserve">  </w:t>
      </w:r>
      <w:r>
        <w:rPr>
          <w:rStyle w:val="1345"/>
          <w:rFonts w:hint="eastAsia" w:ascii="仿宋" w:hAnsi="仿宋" w:eastAsia="仿宋" w:cs="仿宋"/>
          <w:b w:val="0"/>
          <w:bCs w:val="0"/>
          <w:color w:val="auto"/>
          <w:sz w:val="24"/>
          <w:szCs w:val="24"/>
          <w:highlight w:val="none"/>
        </w:rPr>
        <w:t xml:space="preserve">日期：</w:t>
      </w:r>
      <w:r/>
    </w:p>
    <w:p>
      <w:pPr>
        <w:pStyle w:val="1077"/>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7"/>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7"/>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7"/>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5"/>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6"/>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7"/>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r>
      <w:r/>
    </w:p>
    <w:p>
      <w:pPr>
        <w:pStyle w:val="1075"/>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pStyle w:val="1076"/>
        <w:rPr>
          <w:rFonts w:hint="eastAsia"/>
          <w:color w:val="auto"/>
          <w:highlight w:val="none"/>
          <w:lang w:val="en-US" w:eastAsia="zh-CN"/>
        </w:rPr>
      </w:pPr>
      <w:r>
        <w:rPr>
          <w:rFonts w:hint="eastAsia"/>
          <w:color w:val="auto"/>
          <w:highlight w:val="none"/>
          <w:lang w:val="en-US" w:eastAsia="zh-CN"/>
        </w:rPr>
      </w:r>
      <w:r/>
    </w:p>
    <w:p>
      <w:pPr>
        <w:pStyle w:val="1075"/>
        <w:rPr>
          <w:rStyle w:val="1345"/>
          <w:rFonts w:hint="eastAsia" w:ascii="仿宋" w:hAnsi="仿宋" w:eastAsia="仿宋" w:cs="仿宋"/>
          <w:b/>
          <w:bCs/>
          <w:color w:val="auto"/>
          <w:szCs w:val="24"/>
          <w:highlight w:val="none"/>
          <w:lang w:val="en-US" w:eastAsia="zh-CN" w:bidi="ar-SA"/>
        </w:rPr>
      </w:pPr>
      <w:r>
        <w:rPr>
          <w:rFonts w:hint="eastAsia" w:ascii="仿宋" w:hAnsi="仿宋" w:eastAsia="仿宋" w:cs="仿宋"/>
          <w:b/>
          <w:bCs/>
          <w:color w:val="auto"/>
          <w:szCs w:val="24"/>
          <w:highlight w:val="none"/>
          <w:lang w:val="en-US" w:eastAsia="zh-CN" w:bidi="ar-SA"/>
        </w:rPr>
      </w:r>
      <w:r/>
    </w:p>
    <w:p>
      <w:pPr>
        <w:jc w:val="center"/>
        <w:keepLines w:val="0"/>
        <w:keepNext w:val="0"/>
        <w:pageBreakBefore w:val="0"/>
        <w:spacing w:line="360" w:lineRule="auto"/>
        <w:rPr>
          <w:rStyle w:val="1345"/>
          <w:rFonts w:hint="eastAsia" w:ascii="仿宋" w:hAnsi="仿宋" w:eastAsia="仿宋" w:cs="仿宋"/>
          <w:b/>
          <w:bCs/>
          <w:color w:val="auto"/>
          <w:szCs w:val="24"/>
          <w:highlight w:val="none"/>
          <w:lang w:val="en-US" w:eastAsia="zh-CN" w:bidi="ar-SA"/>
        </w:rPr>
        <w:outlineLvl w:val="1"/>
      </w:pPr>
      <w:r/>
      <w:bookmarkStart w:id="74" w:name="_Toc25939"/>
      <w:r>
        <w:rPr>
          <w:rStyle w:val="1345"/>
          <w:rFonts w:hint="eastAsia" w:ascii="仿宋" w:hAnsi="仿宋" w:eastAsia="仿宋" w:cs="仿宋"/>
          <w:b/>
          <w:bCs/>
          <w:color w:val="auto"/>
          <w:szCs w:val="24"/>
          <w:highlight w:val="none"/>
          <w:lang w:val="en-US" w:eastAsia="zh-CN" w:bidi="ar-SA"/>
        </w:rPr>
        <w:t xml:space="preserve">十三、2供应商对“工作人员配备要求”的承诺</w:t>
      </w:r>
      <w:bookmarkEnd w:id="7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承诺：如我单位被确定为</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项目所配备的工作人员不低于</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文件的要求。具体如下：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1.人员承诺</w:t>
      </w:r>
      <w:r/>
    </w:p>
    <w:tbl>
      <w:tblPr>
        <w:tblStyle w:val="1057"/>
        <w:tblW w:w="52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900"/>
        <w:gridCol w:w="829"/>
        <w:gridCol w:w="1213"/>
        <w:gridCol w:w="1596"/>
        <w:gridCol w:w="691"/>
        <w:gridCol w:w="748"/>
        <w:gridCol w:w="730"/>
        <w:gridCol w:w="1397"/>
        <w:gridCol w:w="974"/>
      </w:tblGrid>
      <w:tr>
        <w:trPr>
          <w:jc w:val="center"/>
          <w:trHeight w:val="726"/>
        </w:trPr>
        <w:tc>
          <w:tcPr>
            <w:gridSpan w:val="10"/>
            <w:tcW w:w="500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现场工作人员最低人数</w:t>
            </w:r>
            <w:r/>
          </w:p>
        </w:tc>
      </w:tr>
      <w:tr>
        <w:trPr>
          <w:jc w:val="center"/>
          <w:trHeight w:val="882"/>
        </w:trPr>
        <w:tc>
          <w:tcPr>
            <w:tcW w:w="523"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W w:w="444"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tcW w:w="409"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总人数</w:t>
            </w:r>
            <w:r/>
          </w:p>
        </w:tc>
        <w:tc>
          <w:tcPr>
            <w:tcW w:w="598"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项目总</w:t>
            </w:r>
            <w:r/>
          </w:p>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负责人</w:t>
            </w:r>
            <w:r/>
          </w:p>
        </w:tc>
        <w:tc>
          <w:tcPr>
            <w:tcW w:w="787"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技术员（兼现场负责人）</w:t>
            </w:r>
            <w:r/>
          </w:p>
        </w:tc>
        <w:tc>
          <w:tcPr>
            <w:tcW w:w="341"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质检员</w:t>
            </w:r>
            <w:r/>
          </w:p>
        </w:tc>
        <w:tc>
          <w:tcPr>
            <w:tcW w:w="369"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安全员</w:t>
            </w:r>
            <w:r/>
          </w:p>
        </w:tc>
        <w:tc>
          <w:tcPr>
            <w:tcW w:w="360"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资料员</w:t>
            </w:r>
            <w:r/>
          </w:p>
        </w:tc>
        <w:tc>
          <w:tcPr>
            <w:tcW w:w="689"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专职园林园艺修剪人数</w:t>
            </w:r>
            <w:r/>
          </w:p>
        </w:tc>
        <w:tc>
          <w:tcPr>
            <w:tcW w:w="472"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现场养护人数</w:t>
            </w:r>
            <w:r/>
          </w:p>
        </w:tc>
      </w:tr>
      <w:tr>
        <w:trPr>
          <w:jc w:val="center"/>
          <w:trHeight w:val="451"/>
        </w:trPr>
        <w:tc>
          <w:tcPr>
            <w:tcW w:w="523"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444"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09" w:type="pct"/>
            <w:vAlign w:val="center"/>
            <w:textDirection w:val="lrTb"/>
            <w:noWrap w:val="false"/>
          </w:tcPr>
          <w:p>
            <w:pPr>
              <w:ind w:firstLine="0"/>
              <w:jc w:val="center"/>
              <w:spacing w:line="274"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598"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87"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1"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69"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60"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89"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72"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51"/>
        </w:trPr>
        <w:tc>
          <w:tcPr>
            <w:tcW w:w="523"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444"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09" w:type="pct"/>
            <w:vAlign w:val="center"/>
            <w:textDirection w:val="lrTb"/>
            <w:noWrap w:val="false"/>
          </w:tcPr>
          <w:p>
            <w:pPr>
              <w:ind w:firstLine="0"/>
              <w:jc w:val="center"/>
              <w:spacing w:line="274"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598"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87"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1"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69"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60"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89"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72"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jc w:val="center"/>
          <w:trHeight w:val="474"/>
        </w:trPr>
        <w:tc>
          <w:tcPr>
            <w:tcW w:w="523"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444"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409" w:type="pct"/>
            <w:vAlign w:val="center"/>
            <w:textDirection w:val="lrTb"/>
            <w:noWrap w:val="false"/>
          </w:tcPr>
          <w:p>
            <w:pPr>
              <w:ind w:firstLine="0"/>
              <w:jc w:val="center"/>
              <w:spacing w:line="274"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598"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87"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41"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69"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60" w:type="pct"/>
            <w:vAlign w:val="center"/>
            <w:textDirection w:val="lrTb"/>
            <w:noWrap w:val="false"/>
          </w:tcPr>
          <w:p>
            <w:pPr>
              <w:ind w:firstLine="0"/>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89"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72" w:type="pct"/>
            <w:vAlign w:val="center"/>
            <w:textDirection w:val="lrTb"/>
            <w:noWrap w:val="false"/>
          </w:tcPr>
          <w:p>
            <w:pPr>
              <w:ind w:firstLine="0"/>
              <w:jc w:val="center"/>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bl>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注：技术员兼现场负责人。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总负责人具有园林绿化工程师及以上职称或园林绿化高级工及以上资格，技术员（兼现场负责人）具有园林绿化初级及以上职称或园林绿化中级工及以上资格，质检员、安全员、资料员以及绿化工、园艺工等不同工种的现场工作人员均具有相应的资格证书，能够胜任现场养护管理工作，且以上人员为我公司合法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项目总负责人和技术员（兼现场负责人）等现场管理和服务人员在项目履约过程中，不擅自更换</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4.项目部人员及工人统一工作服装。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5.提供24小时应急服务，设置固定办公地点、值班人员及联系电话。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6.上述人员在我公司中标后15天内，完成用工合同签署并完成养老保险、安全保险等相关保险办理，且用工时间不少于合同履约期，逾期未按要求完成按我单位自动放弃中标处理。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办公地点：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值班人员：                         </w:t>
      </w:r>
      <w:r/>
    </w:p>
    <w:p>
      <w:pPr>
        <w:pStyle w:val="1077"/>
        <w:ind w:firstLine="482"/>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联系电话：</w:t>
      </w:r>
      <w:r/>
    </w:p>
    <w:p>
      <w:pPr>
        <w:pStyle w:val="1075"/>
        <w:ind w:firstLine="4560"/>
        <w:jc w:val="left"/>
        <w:pageBreakBefore w:val="0"/>
        <w:spacing w:line="312" w:lineRule="auto"/>
        <w:widowControl w:val="off"/>
        <w:rPr>
          <w:rFonts w:hint="eastAsia" w:ascii="仿宋" w:hAnsi="仿宋" w:eastAsia="仿宋" w:cs="仿宋"/>
          <w:bCs/>
          <w:color w:val="auto"/>
          <w:sz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75"/>
        <w:ind w:firstLine="4560"/>
        <w:jc w:val="left"/>
        <w:pageBreakBefore w:val="0"/>
        <w:spacing w:line="312" w:lineRule="auto"/>
        <w:widowControl w:val="off"/>
        <w:rPr>
          <w:rFonts w:hint="eastAsia" w:ascii="仿宋" w:hAnsi="仿宋" w:eastAsia="仿宋" w:cs="仿宋"/>
          <w:color w:val="auto"/>
          <w:sz w:val="24"/>
          <w:szCs w:val="24"/>
          <w:highlight w:val="none"/>
        </w:rPr>
      </w:pPr>
      <w:r>
        <w:rPr>
          <w:rStyle w:val="1345"/>
          <w:rFonts w:hint="eastAsia" w:ascii="仿宋" w:hAnsi="仿宋" w:eastAsia="仿宋" w:cs="仿宋"/>
          <w:b w:val="0"/>
          <w:bCs w:val="0"/>
          <w:color w:val="auto"/>
          <w:sz w:val="24"/>
          <w:szCs w:val="24"/>
          <w:highlight w:val="none"/>
        </w:rPr>
        <w:t xml:space="preserve">日期：</w:t>
      </w:r>
      <w:r/>
    </w:p>
    <w:p>
      <w:pPr>
        <w:jc w:val="center"/>
        <w:keepLines w:val="0"/>
        <w:keepNext w:val="0"/>
        <w:pageBreakBefore w:val="0"/>
        <w:spacing w:line="360" w:lineRule="auto"/>
        <w:rPr>
          <w:rStyle w:val="1345"/>
          <w:rFonts w:hint="eastAsia" w:ascii="仿宋" w:hAnsi="仿宋" w:eastAsia="仿宋" w:cs="仿宋"/>
          <w:b/>
          <w:bCs/>
          <w:color w:val="auto"/>
          <w:szCs w:val="24"/>
          <w:highlight w:val="none"/>
          <w:lang w:val="en-US" w:eastAsia="zh-CN" w:bidi="ar-SA"/>
        </w:rPr>
        <w:outlineLvl w:val="1"/>
      </w:pPr>
      <w:r/>
      <w:bookmarkStart w:id="75" w:name="_Toc32016"/>
      <w:r>
        <w:rPr>
          <w:rStyle w:val="1345"/>
          <w:rFonts w:hint="eastAsia" w:ascii="仿宋" w:hAnsi="仿宋" w:eastAsia="仿宋" w:cs="仿宋"/>
          <w:b/>
          <w:bCs/>
          <w:color w:val="auto"/>
          <w:szCs w:val="24"/>
          <w:highlight w:val="none"/>
          <w:lang w:val="en-US" w:eastAsia="zh-CN" w:bidi="ar-SA"/>
        </w:rPr>
        <w:t xml:space="preserve">十四、供应商对“养护管理机械机具设备配置要求”的承诺</w:t>
      </w:r>
      <w:bookmarkEnd w:id="75"/>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承诺：如我单位被确定为</w:t>
      </w:r>
      <w:r>
        <w:rPr>
          <w:rFonts w:hint="eastAsia" w:ascii="仿宋" w:hAnsi="仿宋" w:eastAsia="仿宋" w:cs="仿宋"/>
          <w:color w:val="auto"/>
          <w:sz w:val="24"/>
          <w:szCs w:val="24"/>
          <w:highlight w:val="none"/>
          <w:lang w:val="en-US" w:eastAsia="zh-CN"/>
        </w:rPr>
        <w:t xml:space="preserve">承建人</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项目所配置的养护管理机械机具设备不低于</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文件的要求。具体如下：</w:t>
      </w:r>
      <w:r/>
    </w:p>
    <w:tbl>
      <w:tblPr>
        <w:tblStyle w:val="1057"/>
        <w:tblW w:w="9921" w:type="dxa"/>
        <w:jc w:val="center"/>
        <w:tblLayout w:type="fixed"/>
        <w:tblCellMar>
          <w:left w:w="108" w:type="dxa"/>
          <w:top w:w="0" w:type="dxa"/>
          <w:right w:w="108" w:type="dxa"/>
          <w:bottom w:w="0" w:type="dxa"/>
        </w:tblCellMar>
        <w:tblLook w:val="04A0" w:firstRow="1" w:lastRow="0" w:firstColumn="1" w:lastColumn="0" w:noHBand="0" w:noVBand="1"/>
      </w:tblPr>
      <w:tblGrid>
        <w:gridCol w:w="438"/>
        <w:gridCol w:w="467"/>
        <w:gridCol w:w="486"/>
        <w:gridCol w:w="486"/>
        <w:gridCol w:w="486"/>
        <w:gridCol w:w="486"/>
        <w:gridCol w:w="486"/>
        <w:gridCol w:w="486"/>
        <w:gridCol w:w="774"/>
        <w:gridCol w:w="866"/>
        <w:gridCol w:w="2734"/>
        <w:gridCol w:w="875"/>
        <w:gridCol w:w="851"/>
      </w:tblGrid>
      <w:tr>
        <w:trPr>
          <w:jc w:val="center"/>
          <w:trHeight w:val="765"/>
        </w:trPr>
        <w:tc>
          <w:tcPr>
            <w:tcBorders>
              <w:top w:val="single" w:color="auto" w:sz="4" w:space="0"/>
              <w:left w:val="single" w:color="auto" w:sz="4" w:space="0"/>
              <w:right w:val="single" w:color="auto" w:sz="4" w:space="0"/>
            </w:tcBorders>
            <w:tcW w:w="438"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w:t>
            </w:r>
            <w:r/>
          </w:p>
        </w:tc>
        <w:tc>
          <w:tcPr>
            <w:tcBorders>
              <w:top w:val="single" w:color="auto" w:sz="4" w:space="0"/>
              <w:left w:val="single" w:color="auto" w:sz="4" w:space="0"/>
              <w:right w:val="single" w:color="auto" w:sz="4" w:space="0"/>
            </w:tcBorders>
            <w:tcW w:w="467"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采购包名称</w:t>
            </w:r>
            <w:r/>
          </w:p>
        </w:tc>
        <w:tc>
          <w:tcPr>
            <w:gridSpan w:val="7"/>
            <w:tcBorders>
              <w:top w:val="single" w:color="auto" w:sz="4" w:space="0"/>
              <w:left w:val="single" w:color="auto" w:sz="4" w:space="0"/>
              <w:bottom w:val="single" w:color="auto" w:sz="4" w:space="0"/>
              <w:right w:val="single" w:color="auto" w:sz="4" w:space="0"/>
            </w:tcBorders>
            <w:tcW w:w="3690"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绿地养护设备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（辆或台）</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树枝叶粉碎设备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（台）</w:t>
            </w:r>
            <w:r/>
          </w:p>
        </w:tc>
        <w:tc>
          <w:tcPr>
            <w:tcBorders>
              <w:top w:val="single" w:color="auto" w:sz="4" w:space="0"/>
              <w:left w:val="none" w:color="000000" w:sz="4" w:space="0"/>
              <w:bottom w:val="single" w:color="auto" w:sz="4" w:space="0"/>
              <w:right w:val="single" w:color="auto" w:sz="4" w:space="0"/>
            </w:tcBorders>
            <w:tcW w:w="273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道路安全防护设施（组）</w:t>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保洁设备</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数字化城管案件办理</w:t>
            </w:r>
            <w:r/>
          </w:p>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w:t>
            </w:r>
            <w:r/>
          </w:p>
        </w:tc>
      </w:tr>
      <w:tr>
        <w:trPr>
          <w:jc w:val="center"/>
          <w:trHeight w:val="1560"/>
        </w:trPr>
        <w:tc>
          <w:tcPr>
            <w:tcBorders>
              <w:left w:val="single" w:color="auto" w:sz="4" w:space="0"/>
              <w:bottom w:val="single" w:color="auto" w:sz="4" w:space="0"/>
              <w:right w:val="single" w:color="auto" w:sz="4" w:space="0"/>
            </w:tcBorders>
            <w:tcW w:w="438"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467" w:type="dxa"/>
            <w:vAlign w:val="center"/>
            <w:vMerge w:val="continue"/>
            <w:textDirection w:val="lrTb"/>
            <w:noWrap w:val="false"/>
          </w:tcPr>
          <w:p>
            <w:pPr>
              <w:ind w:firstLine="48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水车</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喷药设备</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草坪修剪机</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割灌机</w:t>
            </w:r>
            <w:r/>
          </w:p>
        </w:tc>
        <w:tc>
          <w:tcPr>
            <w:tcBorders>
              <w:top w:val="none" w:color="000000"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疏草机</w:t>
            </w:r>
            <w:r/>
          </w:p>
        </w:tc>
        <w:tc>
          <w:tcPr>
            <w:tcBorders>
              <w:top w:val="none" w:color="000000" w:sz="4" w:space="0"/>
              <w:left w:val="single" w:color="auto" w:sz="4" w:space="0"/>
              <w:bottom w:val="single" w:color="auto" w:sz="4" w:space="0"/>
              <w:right w:val="single" w:color="auto" w:sz="4" w:space="0"/>
            </w:tcBorders>
            <w:tcW w:w="77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水肥一体机</w:t>
            </w:r>
            <w:r/>
          </w:p>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可移动铡切揉碎机</w:t>
            </w:r>
            <w:r/>
          </w:p>
        </w:tc>
        <w:tc>
          <w:tcPr>
            <w:tcBorders>
              <w:top w:val="none" w:color="000000" w:sz="4" w:space="0"/>
              <w:left w:val="single" w:color="auto" w:sz="4" w:space="0"/>
              <w:bottom w:val="single" w:color="000000" w:sz="4" w:space="0"/>
              <w:right w:val="single" w:color="auto" w:sz="4" w:space="0"/>
            </w:tcBorders>
            <w:tcW w:w="273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符合《中华人民共和国国家标准》（GB5768.4-2017）中道路交通标志和标线第4部分：作业区内容要求，配备绿化养护管理作业相应道路安全防护设施。</w:t>
            </w:r>
            <w:r/>
          </w:p>
        </w:tc>
        <w:tc>
          <w:tcPr>
            <w:tcBorders>
              <w:top w:val="none" w:color="000000" w:sz="4" w:space="0"/>
              <w:left w:val="single" w:color="auto" w:sz="4" w:space="0"/>
              <w:bottom w:val="single" w:color="000000" w:sz="4" w:space="0"/>
              <w:right w:val="single" w:color="auto" w:sz="4" w:space="0"/>
            </w:tcBorders>
            <w:tcW w:w="87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电动保洁车</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处置通</w:t>
            </w:r>
            <w:r/>
          </w:p>
        </w:tc>
      </w:tr>
      <w:tr>
        <w:trPr>
          <w:jc w:val="center"/>
          <w:trHeight w:val="33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7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73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3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7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73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33"/>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67"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8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7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734"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75" w:type="dxa"/>
            <w:vAlign w:val="center"/>
            <w:textDirection w:val="lrTb"/>
            <w:noWrap w:val="false"/>
          </w:tcPr>
          <w:p>
            <w:pPr>
              <w:ind w:firstLine="0"/>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1.上述机械设备机具等为我公司所有，全部专用于</w:t>
      </w:r>
      <w:r>
        <w:rPr>
          <w:rFonts w:hint="eastAsia" w:ascii="仿宋" w:hAnsi="仿宋" w:eastAsia="仿宋" w:cs="仿宋"/>
          <w:color w:val="auto"/>
          <w:sz w:val="24"/>
          <w:szCs w:val="24"/>
          <w:highlight w:val="none"/>
          <w:lang w:eastAsia="zh-CN"/>
        </w:rPr>
        <w:t xml:space="preserve">2025年徐州市新城区新移交市管道路绿地养护管理</w:t>
      </w:r>
      <w:r>
        <w:rPr>
          <w:rFonts w:hint="eastAsia" w:ascii="仿宋" w:hAnsi="仿宋" w:eastAsia="仿宋" w:cs="仿宋"/>
          <w:color w:val="auto"/>
          <w:sz w:val="24"/>
          <w:szCs w:val="24"/>
          <w:highlight w:val="none"/>
        </w:rPr>
        <w:t xml:space="preserve">工作。</w:t>
      </w:r>
      <w:r/>
    </w:p>
    <w:p>
      <w:pPr>
        <w:ind w:firstLine="480"/>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2.在我公司接到</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通知后15天内，将上述机械机具设备等全部足额配备到位，并放置至规定场所，并提供相应机械机具设备清单</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eastAsia="zh-CN"/>
        </w:rPr>
        <w:t xml:space="preserve">（租赁）</w:t>
      </w:r>
      <w:r>
        <w:rPr>
          <w:rFonts w:hint="eastAsia" w:ascii="仿宋" w:hAnsi="仿宋" w:eastAsia="仿宋" w:cs="仿宋"/>
          <w:color w:val="auto"/>
          <w:sz w:val="24"/>
          <w:szCs w:val="24"/>
          <w:highlight w:val="none"/>
        </w:rPr>
        <w:t xml:space="preserve">合同、采购发票以及机械机具设备名称、型号、编号（码）等信息，且按照上表要求的顺序编排，供采购人核实，其中水车等机动车辆要提供车辆行驶证、车辆保险等证件资料，</w:t>
      </w:r>
      <w:r>
        <w:rPr>
          <w:rFonts w:hint="eastAsia" w:ascii="仿宋" w:hAnsi="仿宋" w:eastAsia="仿宋" w:cs="仿宋"/>
          <w:b/>
          <w:bCs/>
          <w:color w:val="auto"/>
          <w:sz w:val="24"/>
          <w:szCs w:val="24"/>
          <w:highlight w:val="none"/>
          <w:lang w:val="en-US" w:eastAsia="zh-CN"/>
        </w:rPr>
        <w:t xml:space="preserve">电动保洁车需符合国标，规范上牌，办理备案编号及车辆注册登记；驾乘人员需办理驾驶证（D证），</w:t>
      </w:r>
      <w:r>
        <w:rPr>
          <w:rFonts w:hint="eastAsia" w:ascii="仿宋" w:hAnsi="仿宋" w:eastAsia="仿宋" w:cs="仿宋"/>
          <w:color w:val="auto"/>
          <w:sz w:val="24"/>
          <w:szCs w:val="24"/>
          <w:highlight w:val="none"/>
        </w:rPr>
        <w:t xml:space="preserve">逾期未按要求办理到位的按自动放弃中标处理。</w:t>
      </w:r>
      <w:r/>
    </w:p>
    <w:p>
      <w:pPr>
        <w:numPr>
          <w:ilvl w:val="0"/>
          <w:numId w:val="0"/>
        </w:numPr>
        <w:ind w:firstLine="482"/>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3.投标企业要严格按照《中华人民共和国国家标准》（GB5768.4-2017）中道路交通标志和标线第4部分：作业区内容要求，配备绿化养护管理作业相应道路安全防护设施。</w:t>
      </w:r>
      <w:r/>
    </w:p>
    <w:p>
      <w:pPr>
        <w:pStyle w:val="1075"/>
        <w:ind w:firstLine="480"/>
        <w:jc w:val="left"/>
        <w:pageBreakBefore w:val="0"/>
        <w:spacing w:line="240" w:lineRule="auto"/>
        <w:widowControl w:val="off"/>
        <w:rPr>
          <w:rStyle w:val="1345"/>
          <w:rFonts w:hint="eastAsia" w:ascii="仿宋" w:hAnsi="仿宋" w:eastAsia="仿宋" w:cs="仿宋"/>
          <w:b/>
          <w:bCs/>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期间，甲方在检查考核中，如发现并查实我公司项目养护管理机械机具设备等未按照月度工作安排从事作业，或不在规定场所，或未足额配置上述承诺的养护管理机械设备机具等的，且未在甲方规定时间内整改到位的，甲方有权终止合同。</w:t>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5"/>
        <w:ind w:firstLine="4560"/>
        <w:jc w:val="left"/>
        <w:pageBreakBefore w:val="0"/>
        <w:spacing w:line="312" w:lineRule="auto"/>
        <w:widowControl w:val="off"/>
        <w:rPr>
          <w:rStyle w:val="1345"/>
          <w:rFonts w:hint="eastAsia" w:ascii="仿宋" w:hAnsi="仿宋" w:eastAsia="仿宋" w:cs="仿宋"/>
          <w:color w:val="auto"/>
          <w:sz w:val="24"/>
          <w:szCs w:val="24"/>
          <w:highlight w:val="none"/>
        </w:rPr>
      </w:pPr>
      <w:r>
        <w:rPr>
          <w:rStyle w:val="1345"/>
          <w:rFonts w:hint="eastAsia" w:ascii="仿宋" w:hAnsi="仿宋" w:eastAsia="仿宋" w:cs="仿宋"/>
          <w:color w:val="auto"/>
          <w:sz w:val="24"/>
          <w:szCs w:val="24"/>
          <w:highlight w:val="none"/>
        </w:rPr>
        <w:t xml:space="preserve">供应商：</w:t>
      </w:r>
      <w:r>
        <w:rPr>
          <w:rFonts w:hint="eastAsia" w:ascii="仿宋" w:hAnsi="仿宋" w:eastAsia="仿宋" w:cs="仿宋"/>
          <w:bCs/>
          <w:color w:val="auto"/>
          <w:sz w:val="24"/>
          <w:highlight w:val="none"/>
        </w:rPr>
        <w:t xml:space="preserve">（电子签章）</w:t>
      </w:r>
      <w:r/>
    </w:p>
    <w:p>
      <w:pPr>
        <w:pStyle w:val="1077"/>
        <w:jc w:val="center"/>
        <w:rPr>
          <w:rFonts w:hint="eastAsia" w:ascii="仿宋" w:hAnsi="仿宋" w:eastAsia="仿宋" w:cs="仿宋"/>
          <w:color w:val="auto"/>
          <w:sz w:val="24"/>
          <w:szCs w:val="24"/>
          <w:highlight w:val="none"/>
        </w:rPr>
        <w:outlineLvl w:val="9"/>
      </w:pPr>
      <w:r>
        <w:rPr>
          <w:rStyle w:val="1345"/>
          <w:rFonts w:hint="eastAsia" w:ascii="仿宋" w:hAnsi="仿宋" w:eastAsia="仿宋" w:cs="仿宋"/>
          <w:b w:val="0"/>
          <w:bCs w:val="0"/>
          <w:color w:val="auto"/>
          <w:sz w:val="24"/>
          <w:szCs w:val="24"/>
          <w:highlight w:val="none"/>
          <w:lang w:val="en-US" w:eastAsia="zh-CN"/>
        </w:rPr>
        <w:t xml:space="preserve">  </w:t>
      </w:r>
      <w:r>
        <w:rPr>
          <w:rStyle w:val="1345"/>
          <w:rFonts w:hint="eastAsia" w:ascii="仿宋" w:hAnsi="仿宋" w:eastAsia="仿宋" w:cs="仿宋"/>
          <w:b w:val="0"/>
          <w:bCs w:val="0"/>
          <w:color w:val="auto"/>
          <w:sz w:val="24"/>
          <w:szCs w:val="24"/>
          <w:highlight w:val="none"/>
        </w:rPr>
        <w:t xml:space="preserve">日期：</w:t>
      </w:r>
      <w:r/>
    </w:p>
    <w:p>
      <w:pPr>
        <w:pStyle w:val="1075"/>
        <w:ind w:firstLine="2800"/>
        <w:jc w:val="left"/>
        <w:pageBreakBefore w:val="0"/>
        <w:spacing w:line="312" w:lineRule="auto"/>
        <w:widowControl w:val="off"/>
        <w:rPr>
          <w:rStyle w:val="1345"/>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1075"/>
        <w:ind w:firstLine="2800"/>
        <w:jc w:val="left"/>
        <w:pageBreakBefore w:val="0"/>
        <w:spacing w:line="312" w:lineRule="auto"/>
        <w:widowControl w:val="off"/>
        <w:rPr>
          <w:rStyle w:val="1345"/>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1075"/>
        <w:ind w:firstLine="2800"/>
        <w:jc w:val="left"/>
        <w:pageBreakBefore w:val="0"/>
        <w:spacing w:line="312" w:lineRule="auto"/>
        <w:widowControl w:val="off"/>
        <w:rPr>
          <w:rStyle w:val="1345"/>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pStyle w:val="1075"/>
        <w:ind w:firstLine="2800"/>
        <w:jc w:val="left"/>
        <w:pageBreakBefore w:val="0"/>
        <w:spacing w:line="312" w:lineRule="auto"/>
        <w:widowControl w:val="off"/>
        <w:rPr>
          <w:rStyle w:val="1345"/>
          <w:rFonts w:hint="eastAsia" w:ascii="仿宋" w:hAnsi="仿宋" w:eastAsia="仿宋" w:cs="仿宋"/>
          <w:color w:val="auto"/>
          <w:sz w:val="24"/>
          <w:szCs w:val="24"/>
          <w:highlight w:val="none"/>
        </w:rPr>
        <w:outlineLvl w:val="1"/>
      </w:pPr>
      <w:r/>
      <w:bookmarkStart w:id="76" w:name="_Toc13794"/>
      <w:r>
        <w:rPr>
          <w:rStyle w:val="1345"/>
          <w:rFonts w:hint="eastAsia" w:ascii="仿宋" w:hAnsi="仿宋" w:eastAsia="仿宋" w:cs="仿宋"/>
          <w:b/>
          <w:bCs/>
          <w:color w:val="auto"/>
          <w:sz w:val="24"/>
          <w:szCs w:val="24"/>
          <w:highlight w:val="none"/>
        </w:rPr>
        <w:t xml:space="preserve">十</w:t>
      </w:r>
      <w:r>
        <w:rPr>
          <w:rStyle w:val="1345"/>
          <w:rFonts w:hint="eastAsia" w:ascii="仿宋" w:hAnsi="仿宋" w:eastAsia="仿宋" w:cs="仿宋"/>
          <w:b/>
          <w:bCs/>
          <w:color w:val="auto"/>
          <w:sz w:val="24"/>
          <w:szCs w:val="24"/>
          <w:highlight w:val="none"/>
          <w:lang w:val="en-US" w:eastAsia="zh-CN"/>
        </w:rPr>
        <w:t xml:space="preserve">五</w:t>
      </w:r>
      <w:r>
        <w:rPr>
          <w:rStyle w:val="1345"/>
          <w:rFonts w:hint="eastAsia" w:ascii="仿宋" w:hAnsi="仿宋" w:eastAsia="仿宋" w:cs="仿宋"/>
          <w:b/>
          <w:bCs/>
          <w:color w:val="auto"/>
          <w:sz w:val="24"/>
          <w:szCs w:val="24"/>
          <w:highlight w:val="none"/>
        </w:rPr>
        <w:t xml:space="preserve">、预付款保函支付条款模板</w:t>
      </w:r>
      <w:bookmarkEnd w:id="71"/>
      <w:r/>
      <w:bookmarkEnd w:id="73"/>
      <w:r/>
      <w:bookmarkEnd w:id="76"/>
      <w:r/>
      <w:r/>
    </w:p>
    <w:p>
      <w:pPr>
        <w:pStyle w:val="1075"/>
        <w:jc w:val="left"/>
        <w:pageBreakBefore w:val="0"/>
        <w:spacing w:line="312"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75"/>
        <w:jc w:val="left"/>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1075"/>
        <w:ind w:firstLine="480"/>
        <w:jc w:val="left"/>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Style w:val="1345"/>
          <w:rFonts w:hint="eastAsia" w:ascii="仿宋" w:hAnsi="仿宋" w:eastAsia="仿宋" w:cs="仿宋"/>
          <w:b/>
          <w:color w:val="auto"/>
          <w:sz w:val="24"/>
          <w:szCs w:val="24"/>
          <w:highlight w:val="none"/>
        </w:rPr>
      </w:pPr>
      <w:r>
        <w:rPr>
          <w:rStyle w:val="1345"/>
          <w:rFonts w:hint="eastAsia" w:ascii="仿宋" w:hAnsi="仿宋" w:eastAsia="仿宋" w:cs="仿宋"/>
          <w:b/>
          <w:color w:val="auto"/>
          <w:sz w:val="24"/>
          <w:szCs w:val="24"/>
          <w:highlight w:val="none"/>
        </w:rPr>
        <w:br w:type="page" w:clear="all"/>
      </w:r>
      <w:r/>
    </w:p>
    <w:p>
      <w:pPr>
        <w:pStyle w:val="1075"/>
        <w:ind w:firstLine="643"/>
        <w:jc w:val="center"/>
        <w:pageBreakBefore w:val="0"/>
        <w:spacing w:line="312" w:lineRule="auto"/>
        <w:widowControl w:val="off"/>
        <w:rPr>
          <w:rStyle w:val="1345"/>
          <w:rFonts w:hint="eastAsia" w:ascii="仿宋" w:hAnsi="仿宋" w:eastAsia="仿宋" w:cs="仿宋"/>
          <w:color w:val="auto"/>
          <w:sz w:val="24"/>
          <w:szCs w:val="24"/>
          <w:highlight w:val="none"/>
        </w:rPr>
        <w:outlineLvl w:val="0"/>
      </w:pPr>
      <w:r/>
      <w:bookmarkStart w:id="77" w:name="_Toc80122315"/>
      <w:r/>
      <w:bookmarkStart w:id="78" w:name="_Toc11596"/>
      <w:r/>
      <w:bookmarkStart w:id="79" w:name="_Toc8447"/>
      <w:r>
        <w:rPr>
          <w:rStyle w:val="1345"/>
          <w:rFonts w:hint="eastAsia" w:ascii="仿宋" w:hAnsi="仿宋" w:eastAsia="仿宋" w:cs="仿宋"/>
          <w:b/>
          <w:bCs/>
          <w:color w:val="auto"/>
          <w:sz w:val="24"/>
          <w:szCs w:val="24"/>
          <w:highlight w:val="none"/>
        </w:rPr>
        <w:t xml:space="preserve">第十章</w:t>
      </w:r>
      <w:bookmarkStart w:id="80" w:name="_Hlk77698623"/>
      <w:r>
        <w:rPr>
          <w:rStyle w:val="1345"/>
          <w:rFonts w:hint="eastAsia" w:ascii="仿宋" w:hAnsi="仿宋" w:eastAsia="仿宋" w:cs="仿宋"/>
          <w:b/>
          <w:bCs/>
          <w:color w:val="auto"/>
          <w:sz w:val="24"/>
          <w:szCs w:val="24"/>
          <w:highlight w:val="none"/>
        </w:rPr>
        <w:t xml:space="preserve"> 拟签订的合同文本</w:t>
      </w:r>
      <w:bookmarkEnd w:id="77"/>
      <w:r/>
      <w:bookmarkEnd w:id="78"/>
      <w:r/>
      <w:bookmarkEnd w:id="79"/>
      <w:r/>
      <w:bookmarkEnd w:id="80"/>
      <w:r/>
      <w:r/>
    </w:p>
    <w:p>
      <w:pPr>
        <w:jc w:val="center"/>
        <w:pageBreakBefore w:val="0"/>
        <w:spacing w:line="312" w:lineRule="auto"/>
        <w:rPr>
          <w:rFonts w:hint="eastAsia" w:ascii="仿宋" w:hAnsi="仿宋" w:eastAsia="仿宋" w:cs="仿宋"/>
          <w:b/>
          <w:color w:val="auto"/>
          <w:sz w:val="44"/>
          <w:szCs w:val="44"/>
          <w:highlight w:val="none"/>
        </w:rPr>
      </w:pPr>
      <w:r/>
      <w:bookmarkStart w:id="81" w:name="_Toc358569763"/>
      <w:r/>
      <w:bookmarkStart w:id="82" w:name="_Toc498006748"/>
      <w:r/>
      <w:bookmarkStart w:id="83" w:name="_Toc80122316"/>
      <w:r/>
      <w:r/>
    </w:p>
    <w:p>
      <w:pPr>
        <w:pStyle w:val="1085"/>
        <w:pageBreakBefore w:val="0"/>
        <w:spacing w:line="312" w:lineRule="auto"/>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rPr>
      </w:r>
      <w:r/>
    </w:p>
    <w:p>
      <w:pPr>
        <w:jc w:val="center"/>
        <w:pageBreakBefore w:val="0"/>
        <w:spacing w:line="312" w:lineRule="auto"/>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rPr>
        <w:t xml:space="preserve">政府采购合同</w:t>
      </w:r>
      <w:r/>
    </w:p>
    <w:p>
      <w:pPr>
        <w:pageBreakBefore w:val="0"/>
        <w:spacing w:line="312" w:lineRule="auto"/>
        <w:rPr>
          <w:rFonts w:hint="eastAsia" w:ascii="仿宋" w:hAnsi="仿宋" w:eastAsia="仿宋" w:cs="仿宋"/>
          <w:b w:val="0"/>
          <w:bCs/>
          <w:color w:val="auto"/>
          <w:sz w:val="24"/>
          <w:szCs w:val="24"/>
          <w:highlight w:val="none"/>
          <w:lang w:val="de-DE"/>
        </w:rPr>
      </w:pPr>
      <w:r>
        <w:rPr>
          <w:rFonts w:hint="eastAsia" w:ascii="仿宋" w:hAnsi="仿宋" w:eastAsia="仿宋" w:cs="仿宋"/>
          <w:b w:val="0"/>
          <w:bCs/>
          <w:color w:val="auto"/>
          <w:sz w:val="24"/>
          <w:szCs w:val="24"/>
          <w:highlight w:val="none"/>
          <w:lang w:val="de-D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项目编号：</w:t>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lang w:eastAsia="zh-CN"/>
        </w:rPr>
        <w:t xml:space="preserve">2025年徐州市新城区新移交市管道路绿地养护管理</w:t>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采购单位：</w:t>
      </w:r>
      <w:r>
        <w:rPr>
          <w:rFonts w:hint="eastAsia" w:ascii="仿宋" w:hAnsi="仿宋" w:eastAsia="仿宋" w:cs="仿宋"/>
          <w:b w:val="0"/>
          <w:bCs/>
          <w:color w:val="auto"/>
          <w:sz w:val="24"/>
          <w:szCs w:val="24"/>
          <w:highlight w:val="none"/>
          <w:lang w:eastAsia="zh-CN"/>
        </w:rPr>
        <w:t xml:space="preserve">徐州市住房和城乡建设局</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供应商：</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签订日期：    年  月  日</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ageBreakBefore w:val="0"/>
        <w:spacing w:line="312"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pageBreakBefore w:val="0"/>
        <w:spacing w:line="312"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ageBreakBefore w:val="0"/>
        <w:spacing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12"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r>
      <w:r/>
    </w:p>
    <w:p>
      <w:pPr>
        <w:jc w:val="both"/>
        <w:keepLines/>
        <w:keepNext/>
        <w:pageBreakBefore w:val="0"/>
        <w:spacing w:before="0" w:after="0" w:line="312" w:lineRule="auto"/>
        <w:widowControl/>
        <w:rPr>
          <w:rFonts w:hint="eastAsia" w:ascii="仿宋" w:hAnsi="仿宋" w:eastAsia="仿宋" w:cs="仿宋"/>
          <w:b/>
          <w:bCs/>
          <w:color w:val="auto"/>
          <w:sz w:val="24"/>
          <w:szCs w:val="24"/>
          <w:highlight w:val="none"/>
        </w:rPr>
        <w:outlineLvl w:val="9"/>
      </w:pPr>
      <w:r/>
      <w:bookmarkStart w:id="84" w:name="_Toc296503025"/>
      <w:r/>
      <w:bookmarkStart w:id="85" w:name="_Toc17550"/>
      <w:r/>
      <w:bookmarkStart w:id="86" w:name="_Toc296890982"/>
      <w:r/>
      <w:bookmarkStart w:id="87" w:name="_Toc351203480"/>
      <w:r/>
      <w:bookmarkStart w:id="88" w:name="_Toc24196"/>
      <w:r/>
      <w:r/>
    </w:p>
    <w:p>
      <w:pPr>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bookmarkEnd w:id="84"/>
      <w:r/>
      <w:bookmarkEnd w:id="85"/>
      <w:r/>
      <w:bookmarkEnd w:id="86"/>
      <w:r/>
      <w:bookmarkEnd w:id="87"/>
      <w:r/>
      <w:bookmarkEnd w:id="88"/>
      <w:r/>
      <w:r/>
    </w:p>
    <w:p>
      <w:pPr>
        <w:jc w:val="left"/>
        <w:pageBreakBefore w:val="0"/>
        <w:spacing w:line="312" w:lineRule="auto"/>
        <w:widowControl/>
        <w:rPr>
          <w:rFonts w:hint="eastAsia" w:ascii="仿宋" w:hAnsi="仿宋" w:eastAsia="仿宋" w:cs="仿宋"/>
          <w:color w:val="auto"/>
          <w:sz w:val="24"/>
          <w:szCs w:val="24"/>
          <w:highlight w:val="none"/>
        </w:rPr>
        <w:sectPr>
          <w:footnotePr/>
          <w:endnotePr/>
          <w:type w:val="nextPage"/>
          <w:pgSz w:w="11906" w:h="16838" w:orient="portrait"/>
          <w:pgMar w:top="1440" w:right="1080" w:bottom="1440" w:left="1300" w:header="851" w:footer="992" w:gutter="0"/>
          <w:pgNumType w:start="31"/>
          <w:cols w:num="1" w:sep="0" w:space="720" w:equalWidth="1"/>
          <w:docGrid w:linePitch="360"/>
          <w:titlePg/>
        </w:sectPr>
      </w:pPr>
      <w:r>
        <w:rPr>
          <w:rFonts w:hint="eastAsia" w:ascii="仿宋" w:hAnsi="仿宋" w:eastAsia="仿宋" w:cs="仿宋"/>
          <w:color w:val="auto"/>
          <w:sz w:val="24"/>
          <w:szCs w:val="24"/>
          <w:highlight w:val="none"/>
        </w:rPr>
      </w:r>
      <w:bookmarkEnd w:id="81"/>
      <w:r/>
      <w:bookmarkEnd w:id="82"/>
      <w:r/>
      <w:r/>
    </w:p>
    <w:p>
      <w:pPr>
        <w:ind w:firstLine="480"/>
        <w:jc w:val="center"/>
        <w:spacing w:line="360" w:lineRule="auto"/>
        <w:rPr>
          <w:rFonts w:hint="eastAsia" w:ascii="仿宋" w:hAnsi="仿宋" w:eastAsia="仿宋" w:cs="仿宋"/>
          <w:color w:val="auto"/>
          <w:sz w:val="24"/>
          <w:highlight w:val="none"/>
        </w:rPr>
      </w:pPr>
      <w:r/>
      <w:bookmarkStart w:id="89" w:name="_Toc1567"/>
      <w:r>
        <w:rPr>
          <w:rFonts w:hint="eastAsia" w:ascii="仿宋" w:hAnsi="仿宋" w:eastAsia="仿宋" w:cs="仿宋"/>
          <w:color w:val="auto"/>
          <w:sz w:val="24"/>
          <w:highlight w:val="none"/>
        </w:rPr>
        <w:t xml:space="preserve">合同主要条款</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甲方：徐州市住房和城乡建设局</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乙方：</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合同编号：</w:t>
      </w:r>
      <w:bookmarkStart w:id="90" w:name="_Hlk51275935"/>
      <w:r/>
      <w:r/>
    </w:p>
    <w:p>
      <w:pPr>
        <w:ind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第一项  总则</w:t>
      </w:r>
      <w:r/>
    </w:p>
    <w:p>
      <w:pPr>
        <w:ind w:firstLine="482"/>
        <w:jc w:val="both"/>
        <w:keepLines w:val="0"/>
        <w:keepNext w:val="0"/>
        <w:pageBreakBefore w:val="0"/>
        <w:spacing w:line="360" w:lineRule="auto"/>
        <w:widowControl/>
        <w:rPr>
          <w:rFonts w:hint="eastAsia" w:ascii="仿宋" w:hAnsi="仿宋" w:eastAsia="仿宋" w:cs="仿宋"/>
          <w:b/>
          <w:bCs/>
          <w:color w:val="auto"/>
          <w:sz w:val="24"/>
          <w:highlight w:val="none"/>
        </w:rPr>
        <w:outlineLvl w:val="9"/>
      </w:pPr>
      <w:r>
        <w:rPr>
          <w:rFonts w:hint="eastAsia" w:ascii="仿宋" w:hAnsi="仿宋" w:eastAsia="仿宋" w:cs="仿宋"/>
          <w:color w:val="auto"/>
          <w:sz w:val="24"/>
          <w:highlight w:val="none"/>
        </w:rPr>
        <w:t xml:space="preserve">第一条 </w:t>
      </w:r>
      <w:r>
        <w:rPr>
          <w:rFonts w:hint="eastAsia" w:ascii="仿宋" w:hAnsi="仿宋" w:eastAsia="仿宋" w:cs="仿宋"/>
          <w:color w:val="auto"/>
          <w:sz w:val="24"/>
          <w:highlight w:val="none"/>
        </w:rPr>
        <w:t xml:space="preserve">本合同履行期限为</w:t>
      </w:r>
      <w:r>
        <w:rPr>
          <w:rFonts w:hint="eastAsia" w:ascii="仿宋" w:hAnsi="仿宋" w:eastAsia="仿宋" w:cs="仿宋"/>
          <w:color w:val="auto"/>
          <w:sz w:val="24"/>
          <w:highlight w:val="none"/>
          <w:lang w:val="en-US" w:eastAsia="zh-CN"/>
        </w:rPr>
        <w:t xml:space="preserve">14-17个月不等</w:t>
      </w:r>
      <w:r>
        <w:rPr>
          <w:rFonts w:hint="eastAsia" w:ascii="仿宋" w:hAnsi="仿宋" w:eastAsia="仿宋" w:cs="仿宋"/>
          <w:color w:val="auto"/>
          <w:sz w:val="24"/>
          <w:highlight w:val="none"/>
        </w:rPr>
        <w:t xml:space="preserve">，从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rPr>
          <w:rFonts w:hint="eastAsia" w:ascii="仿宋" w:hAnsi="仿宋" w:eastAsia="仿宋" w:cs="仿宋"/>
          <w:b/>
          <w:bCs/>
          <w:color w:val="auto"/>
          <w:sz w:val="24"/>
          <w:highlight w:val="none"/>
          <w:lang w:val="zh-CN"/>
        </w:rPr>
        <w:t xml:space="preserve">自办理移交接收手续日期起</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zh-CN"/>
        </w:rPr>
        <w:t xml:space="preserve">以实际服务期限支付</w:t>
      </w:r>
      <w:r>
        <w:rPr>
          <w:rFonts w:hint="eastAsia" w:ascii="仿宋" w:hAnsi="仿宋" w:eastAsia="仿宋" w:cs="仿宋"/>
          <w:b/>
          <w:bCs/>
          <w:color w:val="auto"/>
          <w:sz w:val="24"/>
          <w:highlight w:val="none"/>
        </w:rPr>
        <w:t xml:space="preserve">。</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第二条</w:t>
      </w:r>
      <w:r>
        <w:rPr>
          <w:rFonts w:hint="eastAsia" w:ascii="仿宋" w:hAnsi="仿宋" w:eastAsia="仿宋" w:cs="仿宋"/>
          <w:b/>
          <w:bCs/>
          <w:color w:val="auto"/>
          <w:sz w:val="24"/>
          <w:highlight w:val="none"/>
        </w:rPr>
        <w:t xml:space="preserve"> </w:t>
      </w:r>
      <w:r>
        <w:rPr>
          <w:rFonts w:hint="eastAsia" w:ascii="仿宋" w:hAnsi="仿宋" w:eastAsia="仿宋" w:cs="仿宋"/>
          <w:color w:val="auto"/>
          <w:sz w:val="24"/>
          <w:highlight w:val="none"/>
        </w:rPr>
        <w:t xml:space="preserve">徐州市园林建设管理中心作为甲方代表，具体承担该项目检查、指导、考核、质量评价等工作；乙方派项目总负责人</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 xml:space="preserve">身份证（               ）负责本项目的全面养护管理工作。</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第三条 合同签订依据</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根据《中华人民共和国民法典》《中华人民共和国政府采购法》《江苏省城市绿化管理条例》《徐州市城市绿化条例》等有关法律、法规和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rPr>
          <w:rFonts w:hint="eastAsia" w:ascii="仿宋" w:hAnsi="仿宋" w:eastAsia="仿宋" w:cs="仿宋"/>
          <w:color w:val="auto"/>
          <w:sz w:val="24"/>
          <w:highlight w:val="none"/>
          <w:lang w:eastAsia="zh-CN"/>
        </w:rPr>
        <w:t xml:space="preserve">徐州市新城区新移交市管道路绿地养护管理</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结果，甲乙双方恪守公平、公正、诚信的原则，经友好协商，签订本合同。 </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第四条 合同文件的组成</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本合同所附下列文件是构成本合同不可分割的部分：</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eastAsia="zh-CN"/>
        </w:rPr>
        <w:t xml:space="preserve">025年徐州市新城区新移交市管道路绿地养护管理</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)以及相关的澄清、补充文件等；</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2.乙方的</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w:t>
      </w:r>
      <w:bookmarkStart w:id="91" w:name="_Hlk51621600"/>
      <w:r>
        <w:rPr>
          <w:rFonts w:hint="eastAsia" w:ascii="仿宋" w:hAnsi="仿宋" w:eastAsia="仿宋" w:cs="仿宋"/>
          <w:color w:val="auto"/>
          <w:sz w:val="24"/>
          <w:highlight w:val="none"/>
        </w:rPr>
        <w:t xml:space="preserve">投标承诺书</w:t>
      </w:r>
      <w:bookmarkEnd w:id="91"/>
      <w:r>
        <w:rPr>
          <w:rFonts w:hint="eastAsia" w:ascii="仿宋" w:hAnsi="仿宋" w:eastAsia="仿宋" w:cs="仿宋"/>
          <w:color w:val="auto"/>
          <w:sz w:val="24"/>
          <w:highlight w:val="none"/>
        </w:rPr>
        <w:t xml:space="preserve">及其澄清、补充说明文件等；</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3.履约保证金； </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通知书；</w:t>
      </w:r>
      <w:r/>
    </w:p>
    <w:p>
      <w:pPr>
        <w:ind w:firstLine="48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5.履约过程中徐州市出台的绿化养护管理相关的法律法规、规范标准、办法文件等。</w:t>
      </w:r>
      <w:r/>
    </w:p>
    <w:p>
      <w:pPr>
        <w:ind w:firstLine="482"/>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第五条 养护管理范围</w:t>
      </w:r>
      <w:r/>
    </w:p>
    <w:tbl>
      <w:tblPr>
        <w:tblStyle w:val="1057"/>
        <w:tblpPr w:horzAnchor="page" w:tblpX="708" w:vertAnchor="text" w:tblpY="434" w:leftFromText="180" w:topFromText="0" w:rightFromText="180" w:bottomFromText="0"/>
        <w:tblW w:w="109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1"/>
        <w:gridCol w:w="2125"/>
        <w:gridCol w:w="2189"/>
        <w:gridCol w:w="801"/>
        <w:gridCol w:w="1244"/>
        <w:gridCol w:w="1262"/>
        <w:gridCol w:w="1214"/>
        <w:gridCol w:w="1214"/>
      </w:tblGrid>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采购包名称</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绿地名称</w:t>
            </w:r>
            <w:r/>
          </w:p>
        </w:tc>
        <w:tc>
          <w:tcPr>
            <w:shd w:val="clear" w:color="auto" w:fill="auto"/>
            <w:tcBorders>
              <w:top w:val="single" w:color="000000" w:sz="4" w:space="0"/>
              <w:left w:val="single" w:color="000000" w:sz="4" w:space="0"/>
              <w:bottom w:val="non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范围</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绿地级别</w:t>
            </w:r>
            <w:r/>
          </w:p>
        </w:tc>
        <w:tc>
          <w:tcPr>
            <w:shd w:val="clear" w:color="auto" w:fill="auto"/>
            <w:tcBorders>
              <w:top w:val="single" w:color="000000" w:sz="4" w:space="0"/>
              <w:left w:val="single" w:color="000000" w:sz="4" w:space="0"/>
              <w:bottom w:val="non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绿地面积（㎡）</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普通行道树数量（株）</w:t>
            </w:r>
            <w:r/>
          </w:p>
        </w:tc>
        <w:tc>
          <w:tcPr>
            <w:shd w:val="clear" w:color="auto" w:fill="auto"/>
            <w:tcBorders>
              <w:top w:val="single" w:color="000000" w:sz="4" w:space="0"/>
              <w:left w:val="none" w:color="000000" w:sz="4" w:space="0"/>
              <w:bottom w:val="none" w:color="000000" w:sz="4" w:space="0"/>
              <w:right w:val="single" w:color="000000" w:sz="4" w:space="0"/>
            </w:tcBorders>
            <w:tcW w:w="121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养护期限（月）</w:t>
            </w:r>
            <w:r/>
          </w:p>
        </w:tc>
        <w:tc>
          <w:tcPr>
            <w:shd w:val="clear" w:color="auto" w:fill="auto"/>
            <w:tcBorders>
              <w:top w:val="single" w:color="000000" w:sz="4" w:space="0"/>
              <w:left w:val="none" w:color="000000" w:sz="4" w:space="0"/>
              <w:bottom w:val="none" w:color="000000" w:sz="4" w:space="0"/>
              <w:right w:val="single" w:color="000000" w:sz="4" w:space="0"/>
            </w:tcBorders>
            <w:tcW w:w="1214" w:type="dxa"/>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备注</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2025年新移交标段</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2021年新城区道路林荫化改造工程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经十八路（新元大道至昆仑大道）西侧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一级(乙类)</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徐州市金沙路景观绿化工程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金沙路（云台路至昆仑大道）西侧绿化带</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37138.00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316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金沙路三期（昆仑大道至富春路）道路工程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金沙路（昆仑大道至新安路段）</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3746.00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彭祖大道快速路会议中心段绿化</w:t>
            </w:r>
            <w:r>
              <w:rPr>
                <w:rFonts w:hint="eastAsia" w:ascii="仿宋" w:hAnsi="仿宋" w:eastAsia="仿宋" w:cs="仿宋"/>
                <w:i w:val="0"/>
                <w:iCs w:val="0"/>
                <w:color w:val="auto"/>
                <w:sz w:val="18"/>
                <w:szCs w:val="18"/>
                <w:highlight w:val="none"/>
                <w:u w:val="none"/>
                <w:lang w:val="en-US" w:eastAsia="zh-CN" w:bidi="ar"/>
              </w:rPr>
              <w:br/>
            </w:r>
            <w:r>
              <w:rPr>
                <w:rFonts w:hint="eastAsia" w:ascii="仿宋" w:hAnsi="仿宋" w:eastAsia="仿宋" w:cs="仿宋"/>
                <w:i w:val="0"/>
                <w:iCs w:val="0"/>
                <w:color w:val="auto"/>
                <w:sz w:val="18"/>
                <w:szCs w:val="18"/>
                <w:highlight w:val="none"/>
                <w:u w:val="none"/>
                <w:lang w:val="en-US" w:eastAsia="zh-CN" w:bidi="ar"/>
              </w:rPr>
              <w:t xml:space="preserve">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彭祖大道快速路会议中心段（彭祖大道一号桥南130米-肖庄河）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10588.00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533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彭祖大道快速路绿化</w:t>
            </w:r>
            <w:r>
              <w:rPr>
                <w:rFonts w:hint="eastAsia" w:ascii="仿宋" w:hAnsi="仿宋" w:eastAsia="仿宋" w:cs="仿宋"/>
                <w:i w:val="0"/>
                <w:iCs w:val="0"/>
                <w:color w:val="auto"/>
                <w:sz w:val="18"/>
                <w:szCs w:val="18"/>
                <w:highlight w:val="none"/>
                <w:u w:val="none"/>
                <w:lang w:val="en-US" w:eastAsia="zh-CN" w:bidi="ar"/>
              </w:rPr>
              <w:br/>
            </w:r>
            <w:r>
              <w:rPr>
                <w:rFonts w:hint="eastAsia" w:ascii="仿宋" w:hAnsi="仿宋" w:eastAsia="仿宋" w:cs="仿宋"/>
                <w:i w:val="0"/>
                <w:iCs w:val="0"/>
                <w:color w:val="auto"/>
                <w:sz w:val="18"/>
                <w:szCs w:val="18"/>
                <w:highlight w:val="none"/>
                <w:u w:val="none"/>
                <w:lang w:val="en-US" w:eastAsia="zh-CN" w:bidi="ar"/>
              </w:rPr>
              <w:t xml:space="preserve">（汉源大道至新元大道）</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云龙区彭祖大道与新元大道交叉口</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13400.00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徐州市新城区镜泊东路</w:t>
            </w:r>
            <w:r>
              <w:rPr>
                <w:rFonts w:hint="eastAsia" w:ascii="仿宋" w:hAnsi="仿宋" w:eastAsia="仿宋" w:cs="仿宋"/>
                <w:i w:val="0"/>
                <w:iCs w:val="0"/>
                <w:color w:val="auto"/>
                <w:sz w:val="18"/>
                <w:szCs w:val="18"/>
                <w:highlight w:val="none"/>
                <w:u w:val="none"/>
                <w:lang w:val="en-US" w:eastAsia="zh-CN" w:bidi="ar"/>
              </w:rPr>
              <w:br/>
            </w:r>
            <w:r>
              <w:rPr>
                <w:rFonts w:hint="eastAsia" w:ascii="仿宋" w:hAnsi="仿宋" w:eastAsia="仿宋" w:cs="仿宋"/>
                <w:i w:val="0"/>
                <w:iCs w:val="0"/>
                <w:color w:val="auto"/>
                <w:sz w:val="18"/>
                <w:szCs w:val="18"/>
                <w:highlight w:val="none"/>
                <w:u w:val="none"/>
                <w:lang w:val="en-US" w:eastAsia="zh-CN" w:bidi="ar"/>
              </w:rPr>
              <w:t xml:space="preserve">（新元大道-金沙路）市政工程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镜泊东路（新元大道-金沙路）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2169.00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徐州市新城区镜泊东路</w:t>
            </w:r>
            <w:r>
              <w:rPr>
                <w:rFonts w:hint="eastAsia" w:ascii="仿宋" w:hAnsi="仿宋" w:eastAsia="仿宋" w:cs="仿宋"/>
                <w:i w:val="0"/>
                <w:iCs w:val="0"/>
                <w:color w:val="auto"/>
                <w:sz w:val="18"/>
                <w:szCs w:val="18"/>
                <w:highlight w:val="none"/>
                <w:u w:val="none"/>
                <w:lang w:val="en-US" w:eastAsia="zh-CN" w:bidi="ar"/>
              </w:rPr>
              <w:br/>
            </w:r>
            <w:r>
              <w:rPr>
                <w:rFonts w:hint="eastAsia" w:ascii="仿宋" w:hAnsi="仿宋" w:eastAsia="仿宋" w:cs="仿宋"/>
                <w:i w:val="0"/>
                <w:iCs w:val="0"/>
                <w:color w:val="auto"/>
                <w:sz w:val="18"/>
                <w:szCs w:val="18"/>
                <w:highlight w:val="none"/>
                <w:u w:val="none"/>
                <w:lang w:val="en-US" w:eastAsia="zh-CN" w:bidi="ar"/>
              </w:rPr>
              <w:t xml:space="preserve">（明正路-新元大道）工程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镜泊东路（明正路-新元大道）</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792.00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徐州市云龙区丽水路（金沙路-富春路段）</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丽水路东侧位置</w:t>
            </w:r>
            <w:r>
              <w:rPr>
                <w:rFonts w:hint="eastAsia" w:ascii="仿宋" w:hAnsi="仿宋" w:eastAsia="仿宋" w:cs="仿宋"/>
                <w:i w:val="0"/>
                <w:iCs w:val="0"/>
                <w:color w:val="auto"/>
                <w:sz w:val="18"/>
                <w:szCs w:val="18"/>
                <w:highlight w:val="none"/>
                <w:u w:val="none"/>
                <w:lang w:val="en-US" w:eastAsia="zh-CN" w:bidi="ar"/>
              </w:rPr>
              <w:br/>
            </w:r>
            <w:r>
              <w:rPr>
                <w:rFonts w:hint="eastAsia" w:ascii="仿宋" w:hAnsi="仿宋" w:eastAsia="仿宋" w:cs="仿宋"/>
                <w:i w:val="0"/>
                <w:iCs w:val="0"/>
                <w:color w:val="auto"/>
                <w:sz w:val="18"/>
                <w:szCs w:val="18"/>
                <w:highlight w:val="none"/>
                <w:u w:val="none"/>
                <w:lang w:val="en-US" w:eastAsia="zh-CN" w:bidi="ar"/>
              </w:rPr>
              <w:t xml:space="preserve">（金沙路-富春路段）</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902.00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会议中心南侧溢流堰及河道整治工程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彭祖大道西侧景观带，彭祖大道一号桥南侧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800.00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default"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太行路消防站道路改造工程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太行路消防站西侧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1025.30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汉风路两侧绿地</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（太行路-峨眉路）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4154.35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2021年在建项目占用绿地苗木移植养护工程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汉风路北侧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新元大道北侧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金沙路西侧绿化带</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元和路（太行路-峨眉路）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2020年在建项目占用绿地苗木移植养护工程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碧桂园西侧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6468.00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轨道交通6号线一期工程第二批开工站点苗木移植项目</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新元大道北侧和湘江路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肖庄河西延项目（彭祖大道-故黄河）河道及普陀路桥梁工程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普陀路（纬八路-纬七路)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徐州市新城区积水点治理工程二期</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徐州市新城区积水点治理工程二期一标段</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544.00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lang w:val="en-US" w:eastAsia="zh-CN" w:bidi="ar"/>
              </w:rPr>
              <w:suppressLineNumbers w:val="0"/>
            </w:pPr>
            <w:r>
              <w:rPr>
                <w:rFonts w:hint="eastAsia" w:ascii="仿宋" w:hAnsi="仿宋" w:eastAsia="仿宋" w:cs="仿宋"/>
                <w:i w:val="0"/>
                <w:iCs w:val="0"/>
                <w:color w:val="auto"/>
                <w:sz w:val="18"/>
                <w:szCs w:val="18"/>
                <w:highlight w:val="none"/>
                <w:u w:val="none"/>
                <w:lang w:val="en-US" w:eastAsia="zh-CN" w:bidi="ar"/>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二标段-丽水路与汉源大道交叉口</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1872.00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lang w:val="en-US" w:eastAsia="zh-CN" w:bidi="ar"/>
              </w:rPr>
              <w:suppressLineNumbers w:val="0"/>
            </w:pPr>
            <w:r>
              <w:rPr>
                <w:rFonts w:hint="eastAsia" w:ascii="仿宋" w:hAnsi="仿宋" w:eastAsia="仿宋" w:cs="仿宋"/>
                <w:i w:val="0"/>
                <w:iCs w:val="0"/>
                <w:color w:val="auto"/>
                <w:sz w:val="18"/>
                <w:szCs w:val="18"/>
                <w:highlight w:val="none"/>
                <w:u w:val="none"/>
                <w:lang w:val="en-US" w:eastAsia="zh-CN" w:bidi="ar"/>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三标段-钱塘路西侧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1042.00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仿宋" w:hAnsi="仿宋" w:eastAsia="仿宋" w:cs="仿宋"/>
                <w:i w:val="0"/>
                <w:iCs w:val="0"/>
                <w:color w:val="auto"/>
                <w:sz w:val="18"/>
                <w:szCs w:val="18"/>
                <w:highlight w:val="none"/>
                <w:u w:val="none"/>
                <w:lang w:val="en-US" w:eastAsia="zh-CN" w:bidi="ar"/>
              </w:rPr>
              <w:suppressLineNumbers w:val="0"/>
            </w:pPr>
            <w:r>
              <w:rPr>
                <w:rFonts w:hint="eastAsia" w:ascii="仿宋" w:hAnsi="仿宋" w:eastAsia="仿宋" w:cs="仿宋"/>
                <w:i w:val="0"/>
                <w:iCs w:val="0"/>
                <w:color w:val="auto"/>
                <w:sz w:val="18"/>
                <w:szCs w:val="18"/>
                <w:highlight w:val="none"/>
                <w:u w:val="none"/>
                <w:lang w:val="en-US" w:eastAsia="zh-CN" w:bidi="ar"/>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云龙区经16路（商聚路）道路附属工程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纬16路至纬二河桥北侧</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3543.00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徐州市紫金路（汉风路-唐盛路）道路建设项目</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汉风路-唐盛路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983.00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徐州市紫金路（唐盛路-汉源大道）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1097.00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keepLines w:val="0"/>
              <w:keepNext w:val="0"/>
              <w:pageBreakBefore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不在此次移交范围内</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徐州市新城区云台路（唐盛路-汉源大道）绿化工程</w:t>
            </w:r>
            <w:r/>
          </w:p>
        </w:tc>
        <w:tc>
          <w:tcPr>
            <w:shd w:val="clear" w:color="auto" w:fill="auto"/>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唐盛路-汉源大道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continue"/>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603.00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仿宋" w:hAnsi="仿宋" w:eastAsia="仿宋" w:cs="仿宋"/>
                <w:i w:val="0"/>
                <w:iCs w:val="0"/>
                <w:color w:val="auto"/>
                <w:sz w:val="18"/>
                <w:szCs w:val="18"/>
                <w:highlight w:val="none"/>
                <w:u w:val="none"/>
              </w:rPr>
              <w:suppressLineNumbers w:val="0"/>
            </w:pPr>
            <w:r>
              <w:rPr>
                <w:rFonts w:hint="eastAsia" w:ascii="仿宋" w:hAnsi="仿宋" w:eastAsia="仿宋" w:cs="仿宋"/>
                <w:i w:val="0"/>
                <w:iCs w:val="0"/>
                <w:color w:val="auto"/>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075"/>
              <w:ind w:firstLine="420"/>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80"/>
        </w:trPr>
        <w:tc>
          <w:tcPr>
            <w:gridSpan w:val="3"/>
            <w:shd w:val="clear" w:color="auto" w:fill="auto"/>
            <w:tcBorders>
              <w:top w:val="single" w:color="000000" w:sz="4" w:space="0"/>
              <w:left w:val="single" w:color="000000" w:sz="4" w:space="0"/>
              <w:bottom w:val="single" w:color="000000" w:sz="4" w:space="0"/>
              <w:right w:val="single" w:color="000000" w:sz="4" w:space="0"/>
            </w:tcBorders>
            <w:tcW w:w="5215" w:type="dxa"/>
            <w:vAlign w:val="center"/>
            <w:textDirection w:val="lrTb"/>
            <w:noWrap/>
          </w:tcPr>
          <w:p>
            <w:pPr>
              <w:jc w:val="center"/>
              <w:keepLines w:val="0"/>
              <w:keepNext w:val="0"/>
              <w:widowControl/>
              <w:rPr>
                <w:rFonts w:hint="eastAsia" w:ascii="仿宋" w:hAnsi="仿宋" w:eastAsia="仿宋" w:cs="仿宋"/>
                <w:b/>
                <w:bCs/>
                <w:i w:val="0"/>
                <w:iCs w:val="0"/>
                <w:color w:val="auto"/>
                <w:sz w:val="18"/>
                <w:szCs w:val="18"/>
                <w:highlight w:val="none"/>
                <w:u w:val="none"/>
              </w:rPr>
              <w:suppressLineNumbers w:val="0"/>
            </w:pPr>
            <w:r>
              <w:rPr>
                <w:rFonts w:hint="eastAsia" w:ascii="仿宋" w:hAnsi="仿宋" w:eastAsia="仿宋" w:cs="仿宋"/>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jc w:val="center"/>
              <w:rPr>
                <w:rFonts w:hint="eastAsia" w:ascii="仿宋" w:hAnsi="仿宋" w:eastAsia="仿宋" w:cs="仿宋"/>
                <w:b/>
                <w:bCs/>
                <w:i w:val="0"/>
                <w:iCs w:val="0"/>
                <w:color w:val="auto"/>
                <w:sz w:val="18"/>
                <w:szCs w:val="18"/>
                <w:highlight w:val="none"/>
                <w:u w:val="none"/>
              </w:rPr>
            </w:pPr>
            <w:r>
              <w:rPr>
                <w:rFonts w:hint="eastAsia" w:ascii="仿宋" w:hAnsi="仿宋" w:eastAsia="仿宋" w:cs="仿宋"/>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仿宋" w:hAnsi="仿宋" w:eastAsia="仿宋" w:cs="仿宋"/>
                <w:b/>
                <w:bCs/>
                <w:i w:val="0"/>
                <w:iCs w:val="0"/>
                <w:color w:val="auto"/>
                <w:sz w:val="18"/>
                <w:szCs w:val="18"/>
                <w:highlight w:val="none"/>
                <w:u w:val="none"/>
              </w:rPr>
              <w:suppressLineNumbers w:val="0"/>
            </w:pPr>
            <w:r>
              <w:rPr>
                <w:rFonts w:hint="eastAsia" w:ascii="仿宋" w:hAnsi="仿宋" w:eastAsia="仿宋" w:cs="仿宋"/>
                <w:b/>
                <w:bCs/>
                <w:i w:val="0"/>
                <w:iCs w:val="0"/>
                <w:color w:val="auto"/>
                <w:sz w:val="18"/>
                <w:szCs w:val="18"/>
                <w:highlight w:val="none"/>
                <w:u w:val="none"/>
                <w:lang w:val="en-US" w:eastAsia="zh-CN" w:bidi="ar"/>
              </w:rPr>
              <w:t xml:space="preserve">91004.65 </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tcPr>
          <w:p>
            <w:pPr>
              <w:jc w:val="center"/>
              <w:keepLines w:val="0"/>
              <w:keepNext w:val="0"/>
              <w:widowControl/>
              <w:rPr>
                <w:rFonts w:hint="eastAsia" w:ascii="仿宋" w:hAnsi="仿宋" w:eastAsia="仿宋" w:cs="仿宋"/>
                <w:b/>
                <w:bCs/>
                <w:i w:val="0"/>
                <w:iCs w:val="0"/>
                <w:color w:val="auto"/>
                <w:sz w:val="18"/>
                <w:szCs w:val="18"/>
                <w:highlight w:val="none"/>
                <w:u w:val="none"/>
              </w:rPr>
              <w:suppressLineNumbers w:val="0"/>
            </w:pPr>
            <w:r>
              <w:rPr>
                <w:rFonts w:hint="eastAsia" w:ascii="仿宋" w:hAnsi="仿宋" w:eastAsia="仿宋" w:cs="仿宋"/>
                <w:b/>
                <w:bCs/>
                <w:i w:val="0"/>
                <w:iCs w:val="0"/>
                <w:color w:val="auto"/>
                <w:sz w:val="18"/>
                <w:szCs w:val="18"/>
                <w:highlight w:val="none"/>
                <w:u w:val="none"/>
                <w:lang w:val="en-US" w:eastAsia="zh-CN" w:bidi="ar"/>
              </w:rPr>
              <w:t xml:space="preserve">2779</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仿宋" w:hAnsi="仿宋" w:eastAsia="仿宋" w:cs="仿宋"/>
                <w:b/>
                <w:bCs/>
                <w:i w:val="0"/>
                <w:iCs w:val="0"/>
                <w:color w:val="auto"/>
                <w:sz w:val="18"/>
                <w:szCs w:val="18"/>
                <w:highlight w:val="none"/>
                <w:u w:val="none"/>
              </w:rPr>
            </w:pPr>
            <w:r>
              <w:rPr>
                <w:rFonts w:hint="eastAsia" w:ascii="仿宋" w:hAnsi="仿宋" w:eastAsia="仿宋" w:cs="仿宋"/>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仿宋" w:hAnsi="仿宋" w:eastAsia="仿宋" w:cs="仿宋"/>
                <w:b/>
                <w:bCs/>
                <w:i w:val="0"/>
                <w:iCs w:val="0"/>
                <w:color w:val="auto"/>
                <w:sz w:val="18"/>
                <w:szCs w:val="18"/>
                <w:highlight w:val="none"/>
                <w:u w:val="none"/>
              </w:rPr>
            </w:pPr>
            <w:r>
              <w:rPr>
                <w:rFonts w:hint="eastAsia" w:ascii="仿宋" w:hAnsi="仿宋" w:eastAsia="仿宋" w:cs="仿宋"/>
                <w:b/>
                <w:bCs/>
                <w:i w:val="0"/>
                <w:iCs w:val="0"/>
                <w:color w:val="auto"/>
                <w:sz w:val="18"/>
                <w:szCs w:val="18"/>
                <w:highlight w:val="none"/>
                <w:u w:val="none"/>
              </w:rPr>
            </w:r>
            <w:r/>
          </w:p>
        </w:tc>
      </w:tr>
    </w:tbl>
    <w:p>
      <w:pPr>
        <w:ind w:firstLine="482"/>
        <w:jc w:val="both"/>
        <w:keepLines w:val="0"/>
        <w:keepNext w:val="0"/>
        <w:pageBreakBefore w:val="0"/>
        <w:spacing w:line="360" w:lineRule="auto"/>
        <w:widowControl/>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rPr>
        <w:t xml:space="preserve">具体范围如下</w:t>
      </w:r>
      <w:bookmarkEnd w:id="90"/>
      <w:r>
        <w:rPr>
          <w:rFonts w:hint="eastAsia" w:ascii="仿宋" w:hAnsi="仿宋" w:eastAsia="仿宋" w:cs="仿宋"/>
          <w:color w:val="auto"/>
          <w:sz w:val="24"/>
          <w:highlight w:val="none"/>
          <w:lang w:eastAsia="zh-CN"/>
        </w:rPr>
        <w:t xml:space="preserve">：</w:t>
      </w:r>
      <w:r/>
    </w:p>
    <w:p>
      <w:pPr>
        <w:ind w:left="0" w:right="0"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p>
      <w:pPr>
        <w:ind w:left="0" w:right="0"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第二项</w:t>
      </w:r>
      <w:bookmarkStart w:id="92" w:name="_Hlk51276039"/>
      <w:r>
        <w:rPr>
          <w:rFonts w:hint="eastAsia" w:ascii="仿宋" w:hAnsi="仿宋" w:eastAsia="仿宋" w:cs="仿宋"/>
          <w:b/>
          <w:bCs/>
          <w:color w:val="auto"/>
          <w:sz w:val="24"/>
          <w:highlight w:val="none"/>
        </w:rPr>
        <w:t xml:space="preserve">  合同价款与支付</w:t>
      </w:r>
      <w:bookmarkEnd w:id="92"/>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第五条 合同价款及支付</w:t>
      </w:r>
      <w:r/>
    </w:p>
    <w:p>
      <w:pPr>
        <w:ind w:left="0" w:right="0" w:firstLine="482"/>
        <w:spacing w:before="0" w:after="0" w:line="360" w:lineRule="auto"/>
        <w:tabs>
          <w:tab w:val="left" w:pos="5131" w:leader="none"/>
        </w:tabs>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highlight w:val="none"/>
        </w:rPr>
        <w:t xml:space="preserve">（一）本合同总金额为人民币大写金额元（小写金额：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元），经双方协商一致，选择以下第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种付款方式：</w:t>
      </w:r>
      <w:r/>
    </w:p>
    <w:p>
      <w:pPr>
        <w:ind w:left="0" w:right="0" w:firstLine="482"/>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highlight w:val="none"/>
        </w:rPr>
        <w:t xml:space="preserve">付款方式一：提交预付款保函的</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highlight w:val="none"/>
        </w:rPr>
        <w:t xml:space="preserve">合同总价的百分之十（10%）即￥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元整，在双方签订合同后，乙方向甲方出具等额预付款保函后，办理政府采购资金结算手续支付给乙方。</w:t>
      </w:r>
      <w:r/>
    </w:p>
    <w:p>
      <w:pPr>
        <w:ind w:firstLine="480"/>
        <w:spacing w:after="0" w:line="360" w:lineRule="auto"/>
        <w:rPr>
          <w:rFonts w:hint="eastAsia"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预付款抵扣后期应支付管理费。</w:t>
      </w:r>
      <w:r>
        <w:rPr>
          <w:rFonts w:hint="eastAsia" w:ascii="仿宋" w:hAnsi="仿宋" w:eastAsia="仿宋" w:cs="仿宋"/>
          <w:color w:val="auto"/>
          <w:highlight w:val="none"/>
        </w:rPr>
        <w:t xml:space="preserve">剩余合同价款由甲方按月按考核结果支付，分</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个月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按服务期限</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sz w:val="24"/>
          <w:highlight w:val="none"/>
        </w:rPr>
        <w:t xml:space="preserve">，每月百分之二点五（2.5%）即￥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元整，每月月底前对当月作业情况进行考核结果汇总，按照考核结果，由甲方据实办理结算。</w:t>
      </w:r>
      <w:r>
        <w:rPr>
          <w:rFonts w:hint="eastAsia" w:ascii="仿宋" w:hAnsi="仿宋" w:eastAsia="仿宋" w:cs="仿宋"/>
          <w:b/>
          <w:color w:val="auto"/>
          <w:sz w:val="24"/>
          <w:highlight w:val="none"/>
        </w:rPr>
        <w:t xml:space="preserve">自办理移交接收手续日期起,以实际服务期限支付。</w:t>
      </w:r>
      <w:r>
        <w:rPr>
          <w:rFonts w:hint="eastAsia" w:ascii="仿宋" w:hAnsi="仿宋" w:eastAsia="仿宋" w:cs="仿宋"/>
          <w:color w:val="auto"/>
          <w:sz w:val="24"/>
          <w:highlight w:val="none"/>
        </w:rPr>
        <w:t xml:space="preserve">卖方需提交的支付文件包括：卖方出具的全额正式发票</w:t>
      </w:r>
      <w:r>
        <w:rPr>
          <w:rFonts w:hint="eastAsia" w:ascii="仿宋" w:hAnsi="仿宋" w:eastAsia="仿宋" w:cs="仿宋"/>
          <w:color w:val="auto"/>
          <w:sz w:val="24"/>
          <w:highlight w:val="none"/>
          <w:lang w:eastAsia="zh-CN"/>
        </w:rPr>
        <w:t xml:space="preserve">。</w:t>
      </w:r>
      <w:r/>
    </w:p>
    <w:p>
      <w:pPr>
        <w:ind w:left="0" w:right="0" w:firstLine="482"/>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highlight w:val="none"/>
        </w:rPr>
        <w:t xml:space="preserve">付款方式二：不提交预付款保函的</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highlight w:val="none"/>
        </w:rPr>
        <w:t xml:space="preserve">合同总价的百分之十（10%）即￥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元整，在双方签订合同后，办理政府采购资金结算手续支付给乙方。</w:t>
      </w:r>
      <w:r/>
    </w:p>
    <w:p>
      <w:pPr>
        <w:ind w:firstLine="480"/>
        <w:spacing w:after="0" w:line="360" w:lineRule="auto"/>
        <w:rPr>
          <w:rFonts w:hint="eastAsia"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预付款抵扣后期应支付管理费。</w:t>
      </w:r>
      <w:r>
        <w:rPr>
          <w:rFonts w:hint="eastAsia" w:ascii="仿宋" w:hAnsi="仿宋" w:eastAsia="仿宋" w:cs="仿宋"/>
          <w:color w:val="auto"/>
          <w:highlight w:val="none"/>
        </w:rPr>
        <w:t xml:space="preserve">剩余合同价款由甲方按月按考核结果支付，分</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 xml:space="preserve">个月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按服务期限</w:t>
      </w:r>
      <w:r>
        <w:rPr>
          <w:rFonts w:hint="eastAsia" w:ascii="仿宋" w:hAnsi="仿宋" w:eastAsia="仿宋" w:cs="仿宋"/>
          <w:color w:val="auto"/>
          <w:highlight w:val="none"/>
          <w:lang w:eastAsia="zh-CN"/>
        </w:rPr>
        <w:t xml:space="preserve">），</w:t>
      </w:r>
      <w:r>
        <w:rPr>
          <w:rFonts w:hint="eastAsia" w:ascii="仿宋" w:hAnsi="仿宋" w:eastAsia="仿宋" w:cs="仿宋"/>
          <w:color w:val="auto"/>
          <w:sz w:val="24"/>
          <w:highlight w:val="none"/>
        </w:rPr>
        <w:t xml:space="preserve">每月百分之二点五（2.5%）即￥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元整，每月月底前对当月作业情况进行考核结果汇总，按照考核结果，由甲方据实办理结算。</w:t>
      </w:r>
      <w:r>
        <w:rPr>
          <w:rFonts w:hint="eastAsia" w:ascii="仿宋" w:hAnsi="仿宋" w:eastAsia="仿宋" w:cs="仿宋"/>
          <w:b/>
          <w:color w:val="auto"/>
          <w:sz w:val="24"/>
          <w:highlight w:val="none"/>
        </w:rPr>
        <w:t xml:space="preserve">自办理移交接收手续日期起,以实际服务期限支付。</w:t>
      </w:r>
      <w:r>
        <w:rPr>
          <w:rFonts w:hint="eastAsia" w:ascii="仿宋" w:hAnsi="仿宋" w:eastAsia="仿宋" w:cs="仿宋"/>
          <w:color w:val="auto"/>
          <w:sz w:val="24"/>
          <w:highlight w:val="none"/>
        </w:rPr>
        <w:t xml:space="preserve">卖方需提交的支付文件包括：卖方出具的全额正式发票。</w:t>
      </w:r>
      <w:r/>
    </w:p>
    <w:p>
      <w:pPr>
        <w:ind w:left="0" w:right="0" w:firstLine="482"/>
        <w:spacing w:before="0" w:after="0" w:line="360" w:lineRule="auto"/>
        <w:tabs>
          <w:tab w:val="left" w:pos="5131" w:leader="none"/>
        </w:tabs>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highlight w:val="none"/>
        </w:rPr>
        <w:t xml:space="preserve">付款方式三：</w:t>
      </w:r>
      <w:r>
        <w:rPr>
          <w:rFonts w:hint="eastAsia" w:ascii="仿宋" w:hAnsi="仿宋" w:eastAsia="仿宋" w:cs="仿宋"/>
          <w:color w:val="auto"/>
          <w:sz w:val="24"/>
          <w:highlight w:val="none"/>
        </w:rPr>
        <w:t xml:space="preserve">在签订合同时，如乙方明确表示无需预付款的，甲方可按月支付乙方养护管理费（注：此条符合苏财购〔2020〕52号文件要求）。当月合同价款=当月实际养护区域的预算审定价x(1-中标下浮率)。</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highlight w:val="none"/>
        </w:rPr>
        <w:t xml:space="preserve">甲方每月月底前对当月作业情况进行考核结果汇总，按照考核结果，由甲方据实</w:t>
      </w:r>
      <w:r>
        <w:rPr>
          <w:rFonts w:hint="eastAsia" w:ascii="仿宋" w:hAnsi="仿宋" w:eastAsia="仿宋" w:cs="仿宋"/>
          <w:color w:val="auto"/>
          <w:sz w:val="24"/>
          <w:szCs w:val="24"/>
          <w:highlight w:val="none"/>
        </w:rPr>
        <w:t xml:space="preserve">办理结算。</w:t>
      </w:r>
      <w:r>
        <w:rPr>
          <w:rFonts w:hint="eastAsia" w:ascii="仿宋" w:hAnsi="仿宋" w:eastAsia="仿宋" w:cs="仿宋"/>
          <w:b/>
          <w:bCs/>
          <w:color w:val="auto"/>
          <w:sz w:val="24"/>
          <w:szCs w:val="24"/>
          <w:highlight w:val="none"/>
        </w:rPr>
        <w:t xml:space="preserve">自办理移交接收手续日期起,以实际服务期限支付</w:t>
      </w:r>
      <w:r>
        <w:rPr>
          <w:rFonts w:hint="eastAsia" w:ascii="仿宋" w:hAnsi="仿宋" w:eastAsia="仿宋" w:cs="仿宋"/>
          <w:color w:val="auto"/>
          <w:sz w:val="24"/>
          <w:szCs w:val="24"/>
          <w:highlight w:val="none"/>
        </w:rPr>
        <w:t xml:space="preserve">。</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乙方需提交的支付文件包括：乙方出具的全额正式发票；</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（二）合同价款的支付</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bookmarkStart w:id="93" w:name="_Hlk51621728"/>
      <w:r>
        <w:rPr>
          <w:rFonts w:hint="eastAsia" w:ascii="仿宋" w:hAnsi="仿宋" w:eastAsia="仿宋" w:cs="仿宋"/>
          <w:color w:val="auto"/>
          <w:sz w:val="24"/>
          <w:highlight w:val="none"/>
        </w:rPr>
        <w:t xml:space="preserve">甲方每月月底前对当月养护管理考核情况进行汇总，次月月初出具综合考核结果，并据实办理政府采购资金结算手续，支付乙方上月养护管理费用。其中，</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当月综合考核成绩在95分及以上的为优秀格次，全额支付当月养护管理费用；</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当月综合考核成绩在90-95分（含90分）的为合格格次，当月养护管理费用为：[1-（95-实际得分）/100]×当月合同金额；</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当月综合考核成绩在80-90分（含80分）的为基本合格格次，当月养护管理费用为：[1-2×（95-实际得分）/100]×当月合同金额；</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当月综合考核成绩在80分以下为不合格格次，当月养护管理费用为：[1-3×（95-实际得分）/100]×当月合同金额。</w:t>
      </w:r>
      <w:bookmarkEnd w:id="93"/>
      <w:r/>
      <w:r/>
    </w:p>
    <w:p>
      <w:pPr>
        <w:ind w:left="0" w:right="0"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第三项  质量与考核</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第六条 考核标准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以徐州市现行的绿化养护管理相关的法律法规、规范标准、办法文件等。</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第七条 </w:t>
      </w:r>
      <w:bookmarkStart w:id="94" w:name="_Hlk51276898"/>
      <w:r>
        <w:rPr>
          <w:rFonts w:hint="eastAsia" w:ascii="仿宋" w:hAnsi="仿宋" w:eastAsia="仿宋" w:cs="仿宋"/>
          <w:color w:val="auto"/>
          <w:sz w:val="24"/>
          <w:highlight w:val="none"/>
        </w:rPr>
        <w:t xml:space="preserve">养护管理要点及主要内容</w:t>
      </w:r>
      <w:bookmarkEnd w:id="94"/>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（一）园容园貌园艺管理及病虫害防治</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1.严格按照徐州市地方标准《园林绿化养护管理规范》（DB 3203/T 1010-2021）进行养护管理。</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负责对管理区域内的环境卫生保洁，无垃圾杂物，无干枯枝叶，垃圾能及时清运，重点地区随产随清，其他地区日产日清。生活及建筑垃圾清运到市环卫部门指定的倾放处，园内植物枝、叶现场粉碎还田，或创造条件集中粉碎，分类堆放、发酵处理后回填绿地，以改良土壤，增强土壤肥力。</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负责对管理区域内的秩序管理，无设摊摆卖，无拴挂、无宠物入园、水面无垂钓、游泳现象、夏季无赤臂现象，无自行车、机动车、电动车入园（残疾人轮椅、儿童车除外），无践踏绿地和其他破坏绿化的行为。</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协助园林设施标段</w:t>
      </w:r>
      <w:r>
        <w:rPr>
          <w:rFonts w:hint="eastAsia" w:ascii="仿宋" w:hAnsi="仿宋" w:eastAsia="仿宋" w:cs="仿宋"/>
          <w:color w:val="auto"/>
          <w:sz w:val="24"/>
          <w:highlight w:val="none"/>
        </w:rPr>
        <w:t xml:space="preserve">对管理区域内的地面铺装（含木质铺装）、花坛、座椅（凳）、花架、栅（护）栏、亮化、喷泉等设施日常维修维护保养，各项设施保持完好、使用正常（设施达到设计使用年限自然损毁的除外）。</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.指定专人分区负责养护管理，设置片长，按不同管理区域合理安排养护管理人员。</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.须配备必要的种植、运输工具，负责养护管理范围内的园林植物补植、种植、迁移工作。</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.负责养护管理范围内的盆景及水生植物的修剪、施肥、除草、浇水等日常养护管理工作。</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.负责对养护管理范围内绿地养护，并对养护管理范围内死亡的树木、草坪、地被等，由乙方及时补种、完善，补植品种、规格应与原树木基本相同。</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.按要求每月将苗木生长情况及日常养护管理计划、片区及人员安排计划上报管理单位。</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.如遇市政工程、重大活动时，乙方应派人员，做好绿地的维护管理工作，保证绿地及设施完好。</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.台账记录详细如实。</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（二）其他</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乙方中标后进场实施养护管理工作。其中，履约期前3个月为试管期。试管期间，甲方对乙方的人员投入、技术能力、机械机具设备投入、养护管理工作质量和成效等进行检查考核，以确定乙方是否有实际履约能力。</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2.每个履约周期及其年周期对乙方养护管理工作质量和成效进行总体质量评价。评价结果纳入企业信用体系。</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3.负责及时处置养护管理范围内发生的数字化城市管理案件、“12345”政府服务热线工单和上级交办的事项等。</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4.确保甲方在上级各种检查以及各类创建评比活动中不失分。</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bookmarkStart w:id="95" w:name="_Hlk51277245"/>
      <w:r>
        <w:rPr>
          <w:rFonts w:hint="eastAsia" w:ascii="仿宋" w:hAnsi="仿宋" w:eastAsia="仿宋" w:cs="仿宋"/>
          <w:color w:val="auto"/>
          <w:sz w:val="24"/>
          <w:highlight w:val="none"/>
        </w:rPr>
        <w:t xml:space="preserve">第八条 工作人员要求</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工作人员人数见乙方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号</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文件，在总人数不变的情况下，合理安排各重要部位的工作人员数量。工作人员具体要求如下：</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bookmarkStart w:id="96" w:name="_Hlk52741135"/>
      <w:r/>
      <w:bookmarkStart w:id="97" w:name="_Hlk51621872"/>
      <w:r>
        <w:rPr>
          <w:rFonts w:hint="eastAsia" w:ascii="仿宋" w:hAnsi="仿宋" w:eastAsia="仿宋" w:cs="仿宋"/>
          <w:color w:val="auto"/>
          <w:sz w:val="24"/>
          <w:highlight w:val="none"/>
        </w:rPr>
        <w:t xml:space="preserve">1.</w:t>
      </w:r>
      <w:bookmarkStart w:id="98" w:name="_Hlk53950800"/>
      <w:r>
        <w:rPr>
          <w:rFonts w:hint="eastAsia" w:ascii="仿宋" w:hAnsi="仿宋" w:eastAsia="仿宋" w:cs="仿宋"/>
          <w:color w:val="auto"/>
          <w:sz w:val="24"/>
          <w:highlight w:val="none"/>
        </w:rPr>
        <w:t xml:space="preserve">乙方负责项目养护管理的1名项目总负责人、</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名技术员（兼现场负责人）、1名质检员、1名安全员、1名资料员、</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名专职修剪人员及项目部有关人员专用于本项目日常养护管理工作，乙方必须要与上述人员签署不少于本合同履约期的用人用工合同，并购买有关保险。</w:t>
      </w:r>
      <w:bookmarkEnd w:id="98"/>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bookmarkStart w:id="99" w:name="_Hlk53950853"/>
      <w:r>
        <w:rPr>
          <w:rFonts w:hint="eastAsia" w:ascii="仿宋" w:hAnsi="仿宋" w:eastAsia="仿宋" w:cs="仿宋"/>
          <w:color w:val="auto"/>
          <w:sz w:val="24"/>
          <w:highlight w:val="none"/>
        </w:rPr>
        <w:t xml:space="preserve">乙方应建立健全人员管理规章制度，报甲方备案，项目总负责人和现场负责人原则上不得离开市区，每周至少5天在现场负责绿地养护管理；要有AB角，如因病、事确需请假的，应严格遵守请销假制度，向甲方现场管理单位（部门）办理书面请销假手续，当月请假天数不得超过5天。</w:t>
      </w:r>
      <w:bookmarkEnd w:id="99"/>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bookmarkStart w:id="100" w:name="_Hlk53950896"/>
      <w:r>
        <w:rPr>
          <w:rFonts w:hint="eastAsia" w:ascii="仿宋" w:hAnsi="仿宋" w:eastAsia="仿宋" w:cs="仿宋"/>
          <w:color w:val="auto"/>
          <w:sz w:val="24"/>
          <w:highlight w:val="none"/>
        </w:rPr>
        <w:t xml:space="preserve">3.项目总负责人和现场负责人不得随意更换。确因身体原因或其他不可抗力因素，必须更换项目总负责人、技术员（兼现场负责人）、质检员、安全员、资料员、专职修剪人员等的，由乙方书面提出申请，经甲方书面批准后方可更换。拟调任项目总负责人和现场负责人的业绩、工作能力和资格条件等不得低于原项目总负责人或技术员（兼现场负责人）。甲方对乙方派驻的项目总负责人和现场负责人、技术人员的业务能力具有独立判断权利，甲方有权单方要求乙方更换上述人员，乙方应于7个工作日内更换。</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4.乙方项目养护管理人员应足额配备到位，穿戴统一服装，秩序巡查人员制服及配套设备要符合行业规定及季节特点。</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5.乙方应确保24小时应急服务和承诺服务工作，应有固定办公和经营场所、值班人员及联系电话，养护管理范围内要24小时进行巡查。</w:t>
      </w:r>
      <w:bookmarkEnd w:id="95"/>
      <w:r/>
      <w:bookmarkEnd w:id="96"/>
      <w:r/>
      <w:bookmarkEnd w:id="97"/>
      <w:r/>
      <w:bookmarkEnd w:id="100"/>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第九条 养护管理设备配置要求</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见乙方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en-US" w:eastAsia="zh-CN"/>
        </w:rPr>
        <w:t xml:space="preserve">响应</w:t>
      </w:r>
      <w:r>
        <w:rPr>
          <w:rFonts w:hint="eastAsia" w:ascii="仿宋" w:hAnsi="仿宋" w:eastAsia="仿宋" w:cs="仿宋"/>
          <w:color w:val="auto"/>
          <w:sz w:val="24"/>
          <w:highlight w:val="none"/>
        </w:rPr>
        <w:t xml:space="preserve">文件。</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highlight w:val="none"/>
        </w:rPr>
        <w:t xml:space="preserve">采购人要求乙方提供的项目养护管理所需机械机具设备为乙方所有，应在接到</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通知书后15日内全部足额配备到位，放置到规定场所，并提供相应机械机具设备采购清单、采购合同、采购发票及机械机具设备名称、型号、编号（码）等信息，且按照本</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文件第</w:t>
      </w:r>
      <w:r>
        <w:rPr>
          <w:rFonts w:hint="eastAsia" w:ascii="仿宋" w:hAnsi="仿宋" w:eastAsia="仿宋" w:cs="仿宋"/>
          <w:color w:val="auto"/>
          <w:sz w:val="24"/>
          <w:highlight w:val="none"/>
          <w:lang w:val="en-US" w:eastAsia="zh-CN"/>
        </w:rPr>
        <w:t xml:space="preserve">八</w:t>
      </w:r>
      <w:r>
        <w:rPr>
          <w:rFonts w:hint="eastAsia" w:ascii="仿宋" w:hAnsi="仿宋" w:eastAsia="仿宋" w:cs="仿宋"/>
          <w:color w:val="auto"/>
          <w:sz w:val="24"/>
          <w:highlight w:val="none"/>
        </w:rPr>
        <w:t xml:space="preserve">章机械机具设备配置要求的顺序编排，其中水车等机动车辆要提供车辆行驶证、车辆保险等证件资料</w:t>
      </w:r>
      <w:r>
        <w:rPr>
          <w:rFonts w:hint="eastAsia" w:ascii="仿宋" w:hAnsi="仿宋" w:eastAsia="仿宋" w:cs="仿宋"/>
          <w:color w:val="auto"/>
          <w:sz w:val="24"/>
          <w:szCs w:val="24"/>
          <w:highlight w:val="none"/>
        </w:rPr>
        <w:t xml:space="preserve">（含拟采购</w:t>
      </w:r>
      <w:r>
        <w:rPr>
          <w:rFonts w:hint="eastAsia" w:ascii="仿宋" w:hAnsi="仿宋" w:eastAsia="仿宋" w:cs="仿宋"/>
          <w:color w:val="auto"/>
          <w:sz w:val="24"/>
          <w:szCs w:val="24"/>
          <w:highlight w:val="none"/>
          <w:lang w:eastAsia="zh-CN"/>
        </w:rPr>
        <w:t xml:space="preserve">（租赁）</w:t>
      </w:r>
      <w:r>
        <w:rPr>
          <w:rFonts w:hint="eastAsia" w:ascii="仿宋" w:hAnsi="仿宋" w:eastAsia="仿宋" w:cs="仿宋"/>
          <w:color w:val="auto"/>
          <w:sz w:val="24"/>
          <w:szCs w:val="24"/>
          <w:highlight w:val="none"/>
        </w:rPr>
        <w:t xml:space="preserve">的机械机具设备名称型号等）</w:t>
      </w:r>
      <w:r>
        <w:rPr>
          <w:rFonts w:hint="eastAsia" w:ascii="仿宋" w:hAnsi="仿宋" w:eastAsia="仿宋" w:cs="仿宋"/>
          <w:color w:val="auto"/>
          <w:sz w:val="24"/>
          <w:highlight w:val="none"/>
        </w:rPr>
        <w:t xml:space="preserve">，供采购人核查。</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highlight w:val="none"/>
          <w:lang w:val="en-US" w:eastAsia="zh-CN"/>
        </w:rPr>
        <w:t xml:space="preserve">养护管理所需园林专用电动三、四轮车，需符合国标，规范上牌，办理备案编号及车辆注册登记；驾乘人员需办理驾驶证（D证），按照机动车实行统一管理。</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3.</w:t>
      </w:r>
      <w:r>
        <w:rPr>
          <w:rFonts w:hint="eastAsia" w:ascii="仿宋" w:hAnsi="仿宋" w:eastAsia="仿宋" w:cs="仿宋"/>
          <w:b/>
          <w:bCs/>
          <w:color w:val="auto"/>
          <w:sz w:val="24"/>
          <w:szCs w:val="24"/>
          <w:highlight w:val="none"/>
          <w:lang w:val="en-US" w:eastAsia="zh-CN"/>
        </w:rPr>
        <w:t xml:space="preserve">乙方要严格按照《中华人民共和国国家标准》（GB5768.4-2017）中道路交通标志和标线第4部分：作业区内容要求，配备绿化养护管理作业相应道路安全防护设施。</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第十条 考核验收标准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以徐州市现行的绿化养护管理相关的法律法规、规范标准、办法文件等。</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第十一条 履约保证金</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（一）签订合同前，乙方应向甲方支付履约保证金，履约保证金金额为</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金额的百分之五（5%）大写：人民币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元</w:t>
      </w:r>
      <w:r>
        <w:rPr>
          <w:rFonts w:hint="eastAsia" w:ascii="仿宋" w:hAnsi="仿宋" w:eastAsia="仿宋" w:cs="仿宋"/>
          <w:color w:val="auto"/>
          <w:sz w:val="24"/>
          <w:highlight w:val="none"/>
        </w:rPr>
        <w:t xml:space="preserve">），履约保证金不计利息。</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（二）履约保证金形式：履约保证金应当以支票、本票、汇票或金融机构、担保机构出具的保函等非现金形式提交。</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（三）履约保证金退还：质保期满后，乙方出具甲方提供的《验收书》并结算违约赔偿（如有）后无息退还给乙方，如未提供，履约保证金不予退还。</w:t>
      </w:r>
      <w:r/>
    </w:p>
    <w:p>
      <w:pPr>
        <w:ind w:left="0" w:right="0"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第四项  权利和义务</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bookmarkStart w:id="101" w:name="_Hlk51277562"/>
      <w:r>
        <w:rPr>
          <w:rFonts w:hint="eastAsia" w:ascii="仿宋" w:hAnsi="仿宋" w:eastAsia="仿宋" w:cs="仿宋"/>
          <w:color w:val="auto"/>
          <w:sz w:val="24"/>
          <w:highlight w:val="none"/>
        </w:rPr>
        <w:t xml:space="preserve">第十二条 甲方的权利和义务</w:t>
      </w:r>
      <w:bookmarkEnd w:id="101"/>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（一）甲方对乙方有实施日常检查、考核、管理的权利。</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（二）甲方可对乙方存在问题限期整改，整改费用由乙方承担。</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（三）甲方需确保乙方合同价款（按照甲方出具的考核结果）按时到位。</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（四）甲方检查人员必须公开、公平、公正检查考核。</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bookmarkStart w:id="102" w:name="_Hlk51277609"/>
      <w:r>
        <w:rPr>
          <w:rFonts w:hint="eastAsia" w:ascii="仿宋" w:hAnsi="仿宋" w:eastAsia="仿宋" w:cs="仿宋"/>
          <w:color w:val="auto"/>
          <w:sz w:val="24"/>
          <w:highlight w:val="none"/>
        </w:rPr>
        <w:t xml:space="preserve">（五）甲方监督检查乙方对法律、法规、规章和相关作业标准、行业规范的履行情况。</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（六）甲方根据服务项目实际情况对养护管理优化调整。</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（七）甲方根据本合同约定第六项“合同的解除”中有关规定解除合同。</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（八）甲方有权要求乙方限期更换履约意识不强、履约能力不足、不能坚守岗位、不服从管理的项目总负责人、现场负责人及其他服务人员。</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（九）甲方有权定期对乙方养护机械设备机具等进行查验，要求乙方限期更换达不到养护管理使用标准的机械设备机具。</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（十）甲方根据相关政策和规定调整考核细则和评分标准。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（十一）甲方在整个合同履行期内均有权对</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提供的资料、主要人员、机械机具设备等进行复核，如有不符将取消</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资格并没收全部履约保证金。</w:t>
      </w:r>
      <w:bookmarkEnd w:id="102"/>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第十三条 乙方的权利和义务</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（一）乙方应自觉接受甲方及其下属绿地养护管理监管单位及有关人员的检查、考核、指导和监督。</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（二）乙方不得出现违法违规用工的情况。</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（三）乙方必须按照合同约定足额配备相关人员。</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（四）乙方不得擅自更换项目总负责人、技术员（兼现场负责人）、质检员、安全员、资料员、专职修剪人员和项目其他服务人员。</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（五）合同履行期内，乙方在</w:t>
      </w:r>
      <w:r>
        <w:rPr>
          <w:rFonts w:hint="eastAsia" w:ascii="仿宋" w:hAnsi="仿宋" w:eastAsia="仿宋" w:cs="仿宋"/>
          <w:color w:val="auto"/>
          <w:sz w:val="24"/>
          <w:highlight w:val="none"/>
          <w:lang w:val="en-US" w:eastAsia="zh-CN"/>
        </w:rPr>
        <w:t xml:space="preserve">老城片</w:t>
      </w:r>
      <w:r>
        <w:rPr>
          <w:rFonts w:hint="eastAsia" w:ascii="仿宋" w:hAnsi="仿宋" w:eastAsia="仿宋" w:cs="仿宋"/>
          <w:color w:val="auto"/>
          <w:sz w:val="24"/>
          <w:highlight w:val="none"/>
        </w:rPr>
        <w:t xml:space="preserve">区应有固定办公和经营场所，用于作业、管理、机具停放、办公等。</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（六）乙方要加强工作人员的安全教育、职业技能等培训，完善相关措施，作业人员应经专业培训后方可上岗作业，确保安全无事故。</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（七）在养护管理责任期内，乙方必须制定每周、月工作计划，并按计划完成当周、月的日常养护管理工作。</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（八）乙方不得擅自大面积减少或改变绿地植物配置，如需改造，须书面申请上报甲方同意后方可施工。</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（九）乙方需全面配合甲方在乙方养护管理绿地内组织实施的科研试验等工作，并提供必要的人员和设备。</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（十）乙方应无条件在规定时间内完成某些需紧急处置的情况，或上级重大活动安排的任务及各类创建任务。</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（十一）乙方按照相关要求和标准建立日常养护自查制度，完善各项台账资料。</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（十二）乙方承担其工作人员的人身财产损害及造成第三方损害的法律责任。</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（十三）乙方必须将所投入本项目的设备（车辆）行驶证及机动车登记证书扫描件交甲方备案，设备（车辆）只能在本项目专用，未经甲方书面同意不得用于其他项目。</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（十四）乙方按甲方要求参加相关业务会议、培训和活动等。</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（十五）乙方严格按照《徐州市推进城市生活垃圾分类行动方案》处置园林垃圾，严禁混入其他垃圾收集容器，严禁将其他非绿化垃圾夹杂在绿化植物废弃物中，做好园林垃圾收集、分类、运输和处置等工作。</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（十六）合同履约期间，乙方工作人员如遇人身伤亡事故， 由乙方承担全部经济与法律责任，甲方享有追偿权。</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（十七）乙方不得在管理范围内存在行政管理（执法）行为。</w:t>
      </w:r>
      <w:r/>
    </w:p>
    <w:p>
      <w:pPr>
        <w:ind w:left="0" w:right="0"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第五项  违约责任</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bookmarkStart w:id="103" w:name="_Hlk51621984"/>
      <w:r>
        <w:rPr>
          <w:rFonts w:hint="eastAsia" w:ascii="仿宋" w:hAnsi="仿宋" w:eastAsia="仿宋" w:cs="仿宋"/>
          <w:color w:val="auto"/>
          <w:sz w:val="24"/>
          <w:highlight w:val="none"/>
        </w:rPr>
        <w:t xml:space="preserve">第十四条 甲方未按约定支付合同价款，乙方按照有关法律法规规定，有权追究甲方违约责任。</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第十五条 发生下列情况之一的，甲方有权要求乙方限期整改，并承担相应责任。</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（一）未按合同约定数量配备相关工作人员，或者工作人员到岗率低于95%的，限期调整；若整改不到位，月度综合考核一次性扣除10分。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（二）乙方未能及时处置上级指派或各类应急任务的，甲方及其监管单位有权指派其他队伍进场，所发生的费用在乙方履约保证金中扣除，并在月度综合考核中一次性扣除5分。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（三）当月针对同一点位同一存在问题，连续2次整改不合格或累计3次及以上未完成甲方交办的任务的，月度综合考核一次性扣除2分。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（四）现场检查考核期间，项目总负责人不在现场的，每次扣5分；技术员（兼现场负责人）不在现场的，每人每次扣2分/人。每月月度综合考核最高可扣13分。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（五）项目总负责人、技术员（兼现场负责人）按月统计请假超过5天的，每0.5天扣0.5分/人（不足0.5天的按0.5天计）；未遵守请销假制度的，当月综合考核每人每次扣2分。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（六</w:t>
      </w:r>
      <w:bookmarkStart w:id="104" w:name="_Hlk52741648"/>
      <w:r>
        <w:rPr>
          <w:rFonts w:hint="eastAsia" w:ascii="仿宋" w:hAnsi="仿宋" w:eastAsia="仿宋" w:cs="仿宋"/>
          <w:color w:val="auto"/>
          <w:sz w:val="24"/>
          <w:highlight w:val="none"/>
        </w:rPr>
        <w:t xml:space="preserve">）乙方未按甲方要求参加相关业务会议、培训和活动等的人员，月度综合考核每人每次扣1分。</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（七）乙方机械机具设备等未按要求从事作业，或者不在规定场所的，主要施工车辆如水车等每次每辆扣1分，其他小型机具设备每次每台（部）扣0.5分，计入月度综合考核成绩。</w:t>
      </w:r>
      <w:bookmarkEnd w:id="104"/>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（八）出现绿地占用毁绿行为，且没及时跟踪行政执法处理结果，或擅自减少或改变绿地植物配置的，要承担相应损失。</w:t>
      </w:r>
      <w:bookmarkEnd w:id="103"/>
      <w:r/>
      <w:r/>
    </w:p>
    <w:p>
      <w:pPr>
        <w:ind w:left="0" w:right="0"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bookmarkStart w:id="105" w:name="_Hlk51277999"/>
      <w:r>
        <w:rPr>
          <w:rFonts w:hint="eastAsia" w:ascii="仿宋" w:hAnsi="仿宋" w:eastAsia="仿宋" w:cs="仿宋"/>
          <w:b/>
          <w:bCs/>
          <w:color w:val="auto"/>
          <w:sz w:val="24"/>
          <w:highlight w:val="none"/>
        </w:rPr>
        <w:t xml:space="preserve">第六项  合同的解除</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第十六条 合同履行期内发生下列情况之一的，甲方有权终止合同，没收乙方履约保证金，乙方应赔偿甲方由此产生的经济损失。 </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（一）不服从甲方或其委托的检查考核监管单位管理的；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（二）检查考核过程中发现乙方有转包或分包行为的；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（三）擅自更换项目总负责人、技术员（兼现场负责人）的或者未按甲方要求在规定时间内更换的；</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（四）未足额配置养护管理机械机具设备等，限期整改仍未配备到位的；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（五）在试管期间，考核成绩2次低于80分（含80分）或3次倒数第一且有1次低于80分（含80分）的；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（六）每一履约年累计3次考核不合格（低于80分），或有1次考核不合格（低于80分）且连续3次或累计5次考核成绩排在末位的；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（七）在养护管理责任期内，如乙方10日内未对绿地全面或部分绿地进行日常养护管理</w:t>
      </w:r>
      <w:bookmarkStart w:id="106" w:name="_Hlk51622104"/>
      <w:r>
        <w:rPr>
          <w:rFonts w:hint="eastAsia" w:ascii="仿宋" w:hAnsi="仿宋" w:eastAsia="仿宋" w:cs="仿宋"/>
          <w:color w:val="auto"/>
          <w:sz w:val="24"/>
          <w:highlight w:val="none"/>
        </w:rPr>
        <w:t xml:space="preserve">的，经甲方指出仍不进行整改</w:t>
      </w:r>
      <w:bookmarkEnd w:id="106"/>
      <w:r>
        <w:rPr>
          <w:rFonts w:hint="eastAsia" w:ascii="仿宋" w:hAnsi="仿宋" w:eastAsia="仿宋" w:cs="仿宋"/>
          <w:color w:val="auto"/>
          <w:sz w:val="24"/>
          <w:highlight w:val="none"/>
        </w:rPr>
        <w:t xml:space="preserve">或单方中途退出养护管理的；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（八）在上级部门考核评比等活动中出现严重失分，或因养护管理不到位，全年累计被市级及以上新闻媒体曝光3次并在社会上造成较严重影响的；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（九）</w:t>
      </w:r>
      <w:bookmarkStart w:id="107" w:name="_Hlk52741800"/>
      <w:r>
        <w:rPr>
          <w:rFonts w:hint="eastAsia" w:ascii="仿宋" w:hAnsi="仿宋" w:eastAsia="仿宋" w:cs="仿宋"/>
          <w:color w:val="auto"/>
          <w:sz w:val="24"/>
          <w:highlight w:val="none"/>
        </w:rPr>
        <w:t xml:space="preserve">在市管绿地管养季度“双最”考评中，连续2次被评为最差标段的；</w:t>
      </w:r>
      <w:bookmarkEnd w:id="107"/>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（十）乙方因特殊原因，或不具备继续履约能力，提出解除合同，经甲方同意的。</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第十七条 合同解除时，提出解除合同的一方应书面通知对方，书面通知到达对方时解除。</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第十八条 因乙方违约解除合同的，对于尚在投标有效期内的标段养护管理工作由招投标确定的递补队伍负责实施，重新签订养护合同，月度养护经费标准按上一中标人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成交供应商）</w:t>
      </w:r>
      <w:r>
        <w:rPr>
          <w:rFonts w:hint="eastAsia" w:ascii="仿宋" w:hAnsi="仿宋" w:eastAsia="仿宋" w:cs="仿宋"/>
          <w:color w:val="auto"/>
          <w:sz w:val="24"/>
          <w:highlight w:val="none"/>
        </w:rPr>
        <w:t xml:space="preserve">合同价中月度养护标准执行；投标有效期结束的，由甲方重新组织招标，新中标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队伍进场前，由乙方继续负责养护管理工作，“续管期”内甲方按考核成绩正常兑现经费，续管期原则上不超过 3 个月。</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第十九条 因乙方违约解除合同的，视情况列入政府采购失信行为记录名单。</w:t>
      </w:r>
      <w:bookmarkEnd w:id="105"/>
      <w:r/>
      <w:r/>
    </w:p>
    <w:p>
      <w:pPr>
        <w:ind w:left="0" w:right="0" w:firstLine="482"/>
        <w:jc w:val="both"/>
        <w:keepLines w:val="0"/>
        <w:keepNext w:val="0"/>
        <w:pageBreakBefore w:val="0"/>
        <w:spacing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第七项  其他</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第二十条 乙方在签署本合同同时，应与甲方或其委托监管单位、项目部及有关人员签署安全生产合同。</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第二十一条 养护管理期内，乙方出现未按照养护管理监管单位整改要求在规定期限内整改到位的，由甲方委托其他单位代为整改，费用由乙方承担。</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第二十二条 合同履约期间如遇人身伤亡事故，由乙方承担全部经济与法律责任。</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第二十三条 承包工作量若因故发生增减，则承包款根据合同单价同比例增减。</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第二十四条 本合同执行期限内如因自然灾害、城市建设、政策调整或者不可抗力导致合同不得不终止，甲、乙双方应该相互理解，妥善处理终止合同所涉及相关事宜，互不追究对方责任。</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第二十五条 合同执行过程中，乙方月度综合考核成绩、“双最”考评成绩、履约情况等，记入徐州市企业信用评价体系。</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第二十六条 本合同一式</w:t>
      </w:r>
      <w:r>
        <w:rPr>
          <w:rFonts w:hint="eastAsia" w:ascii="仿宋" w:hAnsi="仿宋" w:eastAsia="仿宋" w:cs="仿宋"/>
          <w:color w:val="auto"/>
          <w:sz w:val="24"/>
          <w:highlight w:val="none"/>
          <w:u w:val="single"/>
        </w:rPr>
        <w:t xml:space="preserve"> 陆 </w:t>
      </w:r>
      <w:r>
        <w:rPr>
          <w:rFonts w:hint="eastAsia" w:ascii="仿宋" w:hAnsi="仿宋" w:eastAsia="仿宋" w:cs="仿宋"/>
          <w:color w:val="auto"/>
          <w:sz w:val="24"/>
          <w:highlight w:val="none"/>
        </w:rPr>
        <w:t xml:space="preserve">份，具有同等法律效力，甲方</w:t>
      </w:r>
      <w:r>
        <w:rPr>
          <w:rFonts w:hint="eastAsia" w:ascii="仿宋" w:hAnsi="仿宋" w:eastAsia="仿宋" w:cs="仿宋"/>
          <w:color w:val="auto"/>
          <w:sz w:val="24"/>
          <w:highlight w:val="none"/>
          <w:u w:val="single"/>
        </w:rPr>
        <w:t xml:space="preserve"> 贰 </w:t>
      </w:r>
      <w:r>
        <w:rPr>
          <w:rFonts w:hint="eastAsia" w:ascii="仿宋" w:hAnsi="仿宋" w:eastAsia="仿宋" w:cs="仿宋"/>
          <w:color w:val="auto"/>
          <w:sz w:val="24"/>
          <w:highlight w:val="none"/>
        </w:rPr>
        <w:t xml:space="preserve">份，乙方</w:t>
      </w:r>
      <w:r>
        <w:rPr>
          <w:rFonts w:hint="eastAsia" w:ascii="仿宋" w:hAnsi="仿宋" w:eastAsia="仿宋" w:cs="仿宋"/>
          <w:color w:val="auto"/>
          <w:sz w:val="24"/>
          <w:highlight w:val="none"/>
          <w:u w:val="single"/>
        </w:rPr>
        <w:t xml:space="preserve"> 贰 </w:t>
      </w:r>
      <w:r>
        <w:rPr>
          <w:rFonts w:hint="eastAsia" w:ascii="仿宋" w:hAnsi="仿宋" w:eastAsia="仿宋" w:cs="仿宋"/>
          <w:color w:val="auto"/>
          <w:sz w:val="24"/>
          <w:highlight w:val="none"/>
        </w:rPr>
        <w:t xml:space="preserve">份，</w:t>
      </w:r>
      <w:r>
        <w:rPr>
          <w:rFonts w:hint="eastAsia" w:ascii="仿宋" w:hAnsi="仿宋" w:eastAsia="仿宋" w:cs="仿宋"/>
          <w:color w:val="auto"/>
          <w:sz w:val="24"/>
          <w:highlight w:val="none"/>
          <w:lang w:val="en-US" w:eastAsia="zh-CN"/>
        </w:rPr>
        <w:t xml:space="preserve">代理公司</w:t>
      </w:r>
      <w:r>
        <w:rPr>
          <w:rFonts w:hint="eastAsia" w:ascii="仿宋" w:hAnsi="仿宋" w:eastAsia="仿宋" w:cs="仿宋"/>
          <w:color w:val="auto"/>
          <w:sz w:val="24"/>
          <w:highlight w:val="none"/>
          <w:u w:val="single"/>
        </w:rPr>
        <w:t xml:space="preserve">一</w:t>
      </w:r>
      <w:r>
        <w:rPr>
          <w:rFonts w:hint="eastAsia" w:ascii="仿宋" w:hAnsi="仿宋" w:eastAsia="仿宋" w:cs="仿宋"/>
          <w:color w:val="auto"/>
          <w:sz w:val="24"/>
          <w:highlight w:val="none"/>
        </w:rPr>
        <w:t xml:space="preserve">份存档，政府采购管理部门</w:t>
      </w:r>
      <w:r>
        <w:rPr>
          <w:rFonts w:hint="eastAsia" w:ascii="仿宋" w:hAnsi="仿宋" w:eastAsia="仿宋" w:cs="仿宋"/>
          <w:color w:val="auto"/>
          <w:sz w:val="24"/>
          <w:highlight w:val="none"/>
          <w:u w:val="single"/>
        </w:rPr>
        <w:t xml:space="preserve">一</w:t>
      </w:r>
      <w:r>
        <w:rPr>
          <w:rFonts w:hint="eastAsia" w:ascii="仿宋" w:hAnsi="仿宋" w:eastAsia="仿宋" w:cs="仿宋"/>
          <w:color w:val="auto"/>
          <w:sz w:val="24"/>
          <w:highlight w:val="none"/>
        </w:rPr>
        <w:t xml:space="preserve">份备案。</w:t>
      </w:r>
      <w:r/>
    </w:p>
    <w:p>
      <w:pPr>
        <w:ind w:left="0" w:right="0" w:firstLine="480"/>
        <w:jc w:val="both"/>
        <w:keepLines w:val="0"/>
        <w:keepNext w:val="0"/>
        <w:pageBreakBefore w:val="0"/>
        <w:spacing w:line="36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第二十七条 本合同其他未尽事宜及与</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文件有矛盾之处，以</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文件[标书编号：[        ]为准。</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bookmarkStart w:id="108" w:name="_Hlk52657062"/>
      <w:r>
        <w:rPr>
          <w:rFonts w:hint="eastAsia" w:ascii="仿宋" w:hAnsi="仿宋" w:eastAsia="仿宋" w:cs="仿宋"/>
          <w:color w:val="auto"/>
          <w:sz w:val="24"/>
          <w:highlight w:val="none"/>
        </w:rPr>
        <w:t xml:space="preserve">第二十八条 凡因本合同引起的或与本合同有关的一切争议，双方应友好协商解决。如果争议不能得到解决，则任何一方均可向徐州市仲裁委员会申请仲裁。</w:t>
      </w:r>
      <w:bookmarkEnd w:id="108"/>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甲方：                                  乙方：</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法定代表人或授权代表（签名）：          法定代表人或授权代表（签名）：</w:t>
      </w:r>
      <w:r/>
    </w:p>
    <w:p>
      <w:pPr>
        <w:ind w:left="0" w:right="0" w:firstLine="480"/>
        <w:jc w:val="both"/>
        <w:keepLines w:val="0"/>
        <w:keepNext w:val="0"/>
        <w:pageBreakBefore w:val="0"/>
        <w:spacing w:before="0" w:after="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联系电话：                              联系电话：</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签定日期：                              签定日期：</w:t>
      </w:r>
      <w:r/>
    </w:p>
    <w:p>
      <w:pPr>
        <w:ind w:left="0" w:right="0" w:firstLine="480"/>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签定地点：                              签定地点：</w:t>
      </w:r>
      <w:r/>
    </w:p>
    <w:p>
      <w:pPr>
        <w:ind w:left="0" w:right="0" w:firstLine="5342"/>
        <w:jc w:val="both"/>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乙方开户银行：    </w:t>
      </w:r>
      <w:r/>
    </w:p>
    <w:p>
      <w:pPr>
        <w:ind w:firstLine="5280"/>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银行账号：</w:t>
      </w:r>
      <w:r>
        <w:rPr>
          <w:rFonts w:hint="eastAsia" w:ascii="仿宋" w:hAnsi="仿宋" w:eastAsia="仿宋" w:cs="仿宋"/>
          <w:color w:val="auto"/>
          <w:sz w:val="24"/>
          <w:szCs w:val="24"/>
          <w:highlight w:val="none"/>
        </w:rPr>
        <w:br w:type="page" w:clear="all"/>
      </w:r>
      <w:r/>
    </w:p>
    <w:p>
      <w:pPr>
        <w:pStyle w:val="1125"/>
        <w:ind w:left="0" w:firstLine="0"/>
        <w:jc w:val="center"/>
        <w:pageBreakBefore w:val="0"/>
        <w:spacing w:after="0" w:line="312" w:lineRule="auto"/>
        <w:widowControl w:val="off"/>
        <w:rPr>
          <w:rStyle w:val="1345"/>
          <w:rFonts w:hint="eastAsia" w:ascii="仿宋" w:hAnsi="仿宋" w:eastAsia="仿宋" w:cs="仿宋"/>
          <w:bCs/>
          <w:color w:val="auto"/>
          <w:sz w:val="24"/>
          <w:szCs w:val="24"/>
          <w:highlight w:val="none"/>
        </w:rPr>
        <w:outlineLvl w:val="0"/>
      </w:pPr>
      <w:r/>
      <w:bookmarkStart w:id="109" w:name="_Toc7646"/>
      <w:r>
        <w:rPr>
          <w:rStyle w:val="1345"/>
          <w:rFonts w:hint="eastAsia" w:ascii="仿宋" w:hAnsi="仿宋" w:eastAsia="仿宋" w:cs="仿宋"/>
          <w:color w:val="auto"/>
          <w:sz w:val="24"/>
          <w:szCs w:val="24"/>
          <w:highlight w:val="none"/>
        </w:rPr>
        <w:t xml:space="preserve">第十一章 </w:t>
      </w:r>
      <w:bookmarkEnd w:id="83"/>
      <w:r/>
      <w:bookmarkEnd w:id="89"/>
      <w:r>
        <w:rPr>
          <w:rFonts w:hint="eastAsia" w:ascii="仿宋" w:hAnsi="仿宋" w:eastAsia="仿宋" w:cs="仿宋"/>
          <w:color w:val="auto"/>
          <w:sz w:val="24"/>
          <w:szCs w:val="24"/>
          <w:highlight w:val="none"/>
        </w:rPr>
        <w:t xml:space="preserve">《徐州市政府采购业务代理服务费行业指导价格标准》</w:t>
      </w:r>
      <w:bookmarkEnd w:id="109"/>
      <w:r/>
      <w:r/>
    </w:p>
    <w:tbl>
      <w:tblPr>
        <w:tblStyle w:val="159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中标或者成交金额</w:t>
            </w:r>
            <w:r/>
          </w:p>
        </w:tc>
        <w:tc>
          <w:tcPr>
            <w:tcW w:w="2569" w:type="dxa"/>
            <w:vAlign w:val="center"/>
            <w:textDirection w:val="lrTb"/>
            <w:noWrap w:val="false"/>
          </w:tcPr>
          <w:p>
            <w:pPr>
              <w:jc w:val="center"/>
              <w:pageBreakBefore w:val="0"/>
              <w:spacing w:line="312" w:lineRule="auto"/>
              <w:rPr>
                <w:rFonts w:hint="eastAsia" w:ascii="仿宋" w:hAnsi="仿宋" w:eastAsia="仿宋" w:cs="仿宋"/>
                <w:b/>
                <w:bCs/>
                <w:color w:val="auto"/>
                <w:sz w:val="21"/>
                <w:szCs w:val="21"/>
                <w:highlight w:val="none"/>
                <w:vertAlign w:val="baseline"/>
              </w:rPr>
            </w:pPr>
            <w:r>
              <w:rPr>
                <w:rFonts w:hint="eastAsia" w:ascii="仿宋" w:hAnsi="仿宋" w:eastAsia="仿宋" w:cs="仿宋"/>
                <w:b/>
                <w:bCs/>
                <w:color w:val="auto"/>
                <w:sz w:val="21"/>
                <w:szCs w:val="21"/>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最低收费金额（每个委托项目）</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50万元以下（含50万元）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50-400万元（含400万元）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400-1000万元（含1000万元）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1000-5000万元（含5000万元）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5000-1亿元（含1亿元）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1-10亿元（含10亿元）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10-50亿元（含50亿元）</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50亿元以上</w:t>
            </w:r>
            <w:r/>
          </w:p>
        </w:tc>
        <w:tc>
          <w:tcPr>
            <w:tcW w:w="2569" w:type="dxa"/>
            <w:vAlign w:val="center"/>
            <w:textDirection w:val="lrTb"/>
            <w:noWrap w:val="false"/>
          </w:tcPr>
          <w:p>
            <w:pPr>
              <w:jc w:val="center"/>
              <w:pageBreakBefore w:val="0"/>
              <w:spacing w:line="312" w:lineRule="auto"/>
              <w:rPr>
                <w:rFonts w:hint="eastAsia" w:ascii="仿宋" w:hAnsi="仿宋" w:eastAsia="仿宋" w:cs="仿宋"/>
                <w:b w:val="0"/>
                <w:bCs w:val="0"/>
                <w:color w:val="auto"/>
                <w:sz w:val="21"/>
                <w:szCs w:val="21"/>
                <w:highlight w:val="none"/>
                <w:vertAlign w:val="baseline"/>
              </w:rPr>
            </w:pPr>
            <w:r>
              <w:rPr>
                <w:rFonts w:hint="eastAsia" w:ascii="仿宋" w:hAnsi="仿宋" w:eastAsia="仿宋" w:cs="仿宋"/>
                <w:b w:val="0"/>
                <w:bCs w:val="0"/>
                <w:color w:val="auto"/>
                <w:sz w:val="21"/>
                <w:szCs w:val="21"/>
                <w:highlight w:val="none"/>
                <w:vertAlign w:val="baseline"/>
                <w:lang w:val="en-US" w:eastAsia="zh-CN"/>
              </w:rPr>
              <w:t xml:space="preserve">0.005%</w:t>
            </w:r>
            <w:r/>
          </w:p>
        </w:tc>
      </w:tr>
    </w:tbl>
    <w:p>
      <w:pPr>
        <w:pStyle w:val="1075"/>
        <w:ind w:firstLine="505"/>
        <w:jc w:val="left"/>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1、按上表计算的收费为代理服务全过程的收费金额。各社会代理机构不再收取采购文件制作售卖费用。</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2、代理服务费按差额定率累进法计算。</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3、代理服务费基准金额（按差额定率累进法计算的）=中标金额（按差额定率累进法计算的）*费率（%）</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4、代理服务费应收取金额=代理服务费基准金额（按差额定率累进法计算的）的合计数。</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5、定点类等无金额或事先不能计算出价格总额的项目，按中标（成交）金额100万元计算服务费。</w:t>
      </w:r>
      <w:r/>
    </w:p>
    <w:p>
      <w:pPr>
        <w:ind w:firstLine="472"/>
        <w:pageBreakBefore w:val="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6.有分包(分标段)的以一个项目计算。</w:t>
      </w:r>
      <w:r/>
    </w:p>
    <w:p>
      <w:pPr>
        <w:pStyle w:val="1075"/>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7.开户名称：江苏科建工程项目管理有限公司徐州分公司</w:t>
      </w:r>
      <w:r/>
    </w:p>
    <w:p>
      <w:pPr>
        <w:pStyle w:val="1075"/>
        <w:ind w:firstLine="505"/>
        <w:jc w:val="left"/>
        <w:keepLines w:val="0"/>
        <w:keepNext w:val="0"/>
        <w:pageBreakBefore w:val="0"/>
        <w:spacing w:line="312"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开户行：中国农业银行股份有限公司徐州塔东支行</w:t>
      </w:r>
      <w:r/>
    </w:p>
    <w:p>
      <w:pPr>
        <w:pStyle w:val="1075"/>
        <w:ind w:firstLine="505"/>
        <w:jc w:val="left"/>
        <w:keepLines w:val="0"/>
        <w:keepNext w:val="0"/>
        <w:pageBreakBefore w:val="0"/>
        <w:spacing w:line="312"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Cs w:val="21"/>
          <w:highlight w:val="none"/>
        </w:rPr>
        <w:t xml:space="preserve">银行帐号：10247401040011283</w:t>
      </w:r>
      <w:r/>
    </w:p>
    <w:p>
      <w:pPr>
        <w:pStyle w:val="1069"/>
        <w:jc w:val="both"/>
        <w:pageBreakBefore w:val="0"/>
        <w:spacing w:line="312"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69"/>
        <w:jc w:val="center"/>
        <w:pageBreakBefore w:val="0"/>
        <w:spacing w:line="312"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rPr>
        <w:t xml:space="preserve">（以下无正文）</w:t>
      </w:r>
      <w:r>
        <w:rPr>
          <w:rFonts w:hint="eastAsia" w:ascii="仿宋" w:hAnsi="仿宋" w:eastAsia="仿宋" w:cs="仿宋"/>
          <w:b/>
          <w:bCs/>
          <w:color w:val="auto"/>
          <w:sz w:val="24"/>
          <w:szCs w:val="24"/>
          <w:highlight w:val="none"/>
          <w:lang w:val="en-US" w:eastAsia="zh-CN"/>
        </w:rPr>
        <w:t xml:space="preserve">------------</w:t>
      </w:r>
      <w:r/>
    </w:p>
    <w:sectPr>
      <w:footerReference w:type="default" r:id="rId21"/>
      <w:footerReference w:type="first" r:id="rId2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楷体_GB2312">
    <w:panose1 w:val="02010609060101010101"/>
  </w:font>
  <w:font w:name="Symbol">
    <w:panose1 w:val="05050102010706020507"/>
  </w:font>
  <w:font w:name="新宋体">
    <w:panose1 w:val="02010609030101010101"/>
  </w:font>
  <w:font w:name="方正仿宋简体">
    <w:panose1 w:val="020B0503020202020204"/>
  </w:font>
  <w:font w:name="Calibri Light">
    <w:panose1 w:val="020F0302020204030204"/>
  </w:font>
  <w:font w:name="仿宋">
    <w:panose1 w:val="02010609060101010101"/>
  </w:font>
  <w:font w:name="等线 Light">
    <w:panose1 w:val="02010600030101010101"/>
  </w:font>
  <w:font w:name="文鼎粗黑">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
    <w:panose1 w:val="020B05030202020202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ind w:firstLine="5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2"/>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2"/>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tabs>
        <w:tab w:val="center" w:pos="4153" w:leader="none"/>
        <w:tab w:val="right" w:pos="8306" w:leader="none"/>
      </w:tabs>
      <w:rPr>
        <w:rStyle w:val="1341"/>
      </w:rPr>
      <w:framePr w:wrap="around" w:vAnchor="text" w:hAnchor="margin" w:xAlign="right" w:y="1"/>
    </w:pPr>
    <w:r>
      <w:fldChar w:fldCharType="begin"/>
    </w:r>
    <w:r>
      <w:rPr>
        <w:rStyle w:val="1341"/>
      </w:rPr>
      <w:instrText xml:space="preserve">PAGE  </w:instrText>
    </w:r>
    <w:r>
      <w:fldChar w:fldCharType="separate"/>
    </w:r>
    <w:r>
      <w:rPr>
        <w:rStyle w:val="1341"/>
      </w:rPr>
      <w:t xml:space="preserve">19</w:t>
    </w:r>
    <w:r>
      <w:fldChar w:fldCharType="end"/>
    </w:r>
    <w:r/>
  </w:p>
  <w:p>
    <w:pPr>
      <w:pStyle w:val="1329"/>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2"/>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2"/>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right" w:pos="4153" w:leader="none"/>
        <w:tab w:val="left" w:pos="8306" w:leader="underscore"/>
      </w:tabs>
      <w:rPr>
        <w:rStyle w:val="134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2"/>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1075"/>
      <w:rPr>
        <w:rStyle w:val="1345"/>
        <w:rFonts w:ascii="隶书" w:eastAsia="隶书"/>
        <w:b/>
        <w:i/>
        <w:sz w:val="18"/>
      </w:rPr>
    </w:pPr>
    <w:r>
      <w:rPr>
        <w:rFonts w:ascii="隶书" w:eastAsia="隶书"/>
        <w:b/>
        <w:i/>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2"/>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Fonts w:eastAsia="隶书"/>
        <w:u w:val="single"/>
      </w:rPr>
      <w:pBdr>
        <w:bottom w:val="single" w:color="auto" w:sz="4" w:space="0"/>
      </w:pBdr>
    </w:pPr>
    <w:r>
      <w:rPr>
        <w:rFonts w:hint="eastAsia"/>
      </w:rPr>
      <w:t xml:space="preserve">         </w:t>
    </w:r>
    <w:r>
      <mc:AlternateContent>
        <mc:Choice Requires="wpg">
          <w:drawing>
            <wp:inline xmlns:wp="http://schemas.openxmlformats.org/drawingml/2006/wordprocessingDrawing" distT="0" distB="0" distL="0" distR="0">
              <wp:extent cx="214630" cy="184150"/>
              <wp:effectExtent l="0" t="0" r="139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21463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iCs/>
        <w:sz w:val="21"/>
        <w:szCs w:val="21"/>
      </w:rPr>
      <w:t xml:space="preserve">江苏科建编制   </w:t>
    </w:r>
    <w:r>
      <w:rPr>
        <w:rFonts w:hint="eastAsia" w:ascii="仿宋" w:hAnsi="仿宋" w:eastAsia="仿宋" w:cs="仿宋"/>
        <w:iCs/>
        <w:sz w:val="21"/>
        <w:szCs w:val="21"/>
        <w:lang w:val="en-US" w:eastAsia="zh-CN"/>
      </w:rPr>
      <w:t xml:space="preserve">  </w:t>
    </w:r>
    <w:r>
      <w:rPr>
        <w:rFonts w:hint="eastAsia" w:ascii="仿宋" w:hAnsi="仿宋" w:eastAsia="仿宋" w:cs="仿宋"/>
        <w:iCs/>
        <w:sz w:val="21"/>
        <w:szCs w:val="21"/>
        <w:lang w:eastAsia="zh-CN"/>
      </w:rPr>
      <w:t xml:space="preserve">2025年徐州市新城区新移交市管道路绿地养护管理</w:t>
    </w:r>
    <w:r>
      <w:rPr>
        <w:rFonts w:hint="eastAsia" w:ascii="仿宋" w:hAnsi="仿宋" w:eastAsia="仿宋" w:cs="仿宋"/>
        <w:iCs/>
        <w:sz w:val="21"/>
        <w:szCs w:val="21"/>
        <w:lang w:val="en-US" w:eastAsia="zh-CN"/>
      </w:rPr>
      <w:t xml:space="preserve">      磋商</w:t>
    </w:r>
    <w:r>
      <w:rPr>
        <w:rFonts w:hint="eastAsia" w:ascii="仿宋" w:hAnsi="仿宋" w:eastAsia="仿宋" w:cs="仿宋"/>
        <w:iCs/>
        <w:sz w:val="21"/>
        <w:szCs w:val="21"/>
      </w:rPr>
      <w:t xml:space="preserve">文件</w:t>
    </w:r>
    <w:r>
      <w:rPr>
        <w:rFonts w:hint="eastAsia" w:ascii="隶书" w:hAnsi="仿宋" w:eastAsia="隶书" w:cs="仿宋"/>
        <w:iCs/>
        <w:sz w:val="21"/>
        <w:szCs w:val="21"/>
      </w:rPr>
      <w:t xml:space="preserve">  </w:t>
    </w:r>
    <w:r>
      <w:rPr>
        <w:rFonts w:hint="eastAsia" w:ascii="隶书" w:hAnsi="仿宋" w:eastAsia="隶书" w:cs="仿宋"/>
        <w:i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center"/>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281305" cy="245110"/>
              <wp:effectExtent l="0" t="0" r="4445" b="2540"/>
              <wp:docPr id="2" name="图片 18"/>
              <wp:cNvGraphicFramePr/>
              <a:graphic xmlns:a="http://schemas.openxmlformats.org/drawingml/2006/main">
                <a:graphicData uri="http://schemas.openxmlformats.org/drawingml/2006/picture">
                  <pic:pic xmlns:pic="http://schemas.openxmlformats.org/drawingml/2006/picture">
                    <pic:nvPicPr>
                      <pic:cNvPr id="11" name="图片 18"/>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sz w:val="21"/>
        <w:szCs w:val="21"/>
      </w:rPr>
      <w:t xml:space="preserve">江苏科建编制      </w:t>
    </w:r>
    <w:r>
      <w:rPr>
        <w:rFonts w:hint="eastAsia" w:ascii="仿宋" w:hAnsi="仿宋" w:eastAsia="仿宋" w:cs="仿宋"/>
        <w:sz w:val="21"/>
        <w:szCs w:val="21"/>
        <w:lang w:eastAsia="zh-CN"/>
      </w:rPr>
      <w:t xml:space="preserve">2025年徐州市新城区新移交市管道路绿地养护管理</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磋商</w:t>
    </w:r>
    <w:r>
      <w:rPr>
        <w:rFonts w:hint="eastAsia" w:ascii="仿宋" w:hAnsi="仿宋" w:eastAsia="仿宋" w:cs="仿宋"/>
        <w:sz w:val="21"/>
        <w:szCs w:val="21"/>
        <w:lang w:eastAsia="zh-CN"/>
      </w:rPr>
      <w:t xml:space="preserve">文件</w:t>
    </w:r>
    <w:r/>
  </w:p>
  <w:p>
    <w:pPr>
      <w:pStyle w:val="109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center"/>
      <w:tabs>
        <w:tab w:val="center" w:pos="4153" w:leader="none"/>
        <w:tab w:val="right" w:pos="8306" w:leader="none"/>
      </w:tabs>
      <w:rPr>
        <w:rFonts w:hint="eastAsia" w:eastAsia="宋体"/>
        <w:lang w:eastAsia="zh-CN"/>
      </w:rPr>
    </w:pPr>
    <w:r>
      <w:rPr>
        <w:rFonts w:hint="eastAsia"/>
      </w:rPr>
      <mc:AlternateContent>
        <mc:Choice Requires="wpg">
          <w:drawing>
            <wp:inline xmlns:wp="http://schemas.openxmlformats.org/drawingml/2006/wordprocessingDrawing" distT="0" distB="0" distL="0" distR="0">
              <wp:extent cx="281305" cy="245110"/>
              <wp:effectExtent l="0" t="0" r="4445" b="2540"/>
              <wp:docPr id="3" name="图片 18"/>
              <wp:cNvGraphicFramePr/>
              <a:graphic xmlns:a="http://schemas.openxmlformats.org/drawingml/2006/main">
                <a:graphicData uri="http://schemas.openxmlformats.org/drawingml/2006/picture">
                  <pic:pic xmlns:pic="http://schemas.openxmlformats.org/drawingml/2006/picture">
                    <pic:nvPicPr>
                      <pic:cNvPr id="3" name="图片 18"/>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sz w:val="21"/>
        <w:szCs w:val="21"/>
      </w:rPr>
      <w:t xml:space="preserve">江苏科建编制      </w:t>
    </w:r>
    <w:r>
      <w:rPr>
        <w:rFonts w:hint="eastAsia" w:ascii="仿宋" w:hAnsi="仿宋" w:eastAsia="仿宋" w:cs="仿宋"/>
        <w:sz w:val="21"/>
        <w:szCs w:val="21"/>
        <w:lang w:eastAsia="zh-CN"/>
      </w:rPr>
      <w:t xml:space="preserve">2025年徐州市新城区新移交市管道路绿地养护管理</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磋商</w:t>
    </w:r>
    <w:r>
      <w:rPr>
        <w:rFonts w:hint="eastAsia" w:ascii="仿宋" w:hAnsi="仿宋" w:eastAsia="仿宋" w:cs="仿宋"/>
        <w:sz w:val="21"/>
        <w:szCs w:val="21"/>
        <w:lang w:eastAsia="zh-CN"/>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5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6" w:default="1">
    <w:name w:val="Normal"/>
    <w:link w:val="1598"/>
    <w:uiPriority w:val="0"/>
    <w:qFormat/>
    <w:pPr>
      <w:jc w:val="both"/>
    </w:pPr>
    <w:rPr>
      <w:rFonts w:hint="default" w:ascii="Calibri" w:hAnsi="Calibri" w:eastAsia="宋体" w:cs="Times New Roman"/>
      <w:sz w:val="21"/>
      <w:szCs w:val="21"/>
      <w:lang w:val="en-US" w:eastAsia="zh-CN" w:bidi="ar-SA"/>
    </w:rPr>
  </w:style>
  <w:style w:type="paragraph" w:styleId="1047">
    <w:name w:val="Heading 1"/>
    <w:basedOn w:val="1046"/>
    <w:next w:val="1046"/>
    <w:link w:val="1186"/>
    <w:uiPriority w:val="9"/>
    <w:qFormat/>
    <w:pPr>
      <w:keepLines/>
      <w:keepNext/>
      <w:spacing w:before="480" w:after="200"/>
      <w:outlineLvl w:val="0"/>
    </w:pPr>
    <w:rPr>
      <w:rFonts w:ascii="Arial" w:hAnsi="Arial" w:eastAsia="Arial" w:cs="Arial"/>
      <w:sz w:val="40"/>
      <w:szCs w:val="40"/>
    </w:rPr>
  </w:style>
  <w:style w:type="paragraph" w:styleId="1048">
    <w:name w:val="Heading 2"/>
    <w:basedOn w:val="1046"/>
    <w:next w:val="1046"/>
    <w:link w:val="1187"/>
    <w:uiPriority w:val="9"/>
    <w:unhideWhenUsed/>
    <w:qFormat/>
    <w:pPr>
      <w:keepLines/>
      <w:keepNext/>
      <w:spacing w:before="360" w:after="200"/>
      <w:outlineLvl w:val="1"/>
    </w:pPr>
    <w:rPr>
      <w:rFonts w:ascii="Arial" w:hAnsi="Arial" w:eastAsia="Arial" w:cs="Arial"/>
      <w:sz w:val="34"/>
    </w:rPr>
  </w:style>
  <w:style w:type="paragraph" w:styleId="1049">
    <w:name w:val="Heading 3"/>
    <w:basedOn w:val="1046"/>
    <w:next w:val="1046"/>
    <w:link w:val="1188"/>
    <w:uiPriority w:val="9"/>
    <w:unhideWhenUsed/>
    <w:qFormat/>
    <w:pPr>
      <w:keepLines/>
      <w:keepNext/>
      <w:spacing w:before="320" w:after="200"/>
      <w:outlineLvl w:val="2"/>
    </w:pPr>
    <w:rPr>
      <w:rFonts w:ascii="Arial" w:hAnsi="Arial" w:eastAsia="Arial" w:cs="Arial"/>
      <w:sz w:val="30"/>
      <w:szCs w:val="30"/>
    </w:rPr>
  </w:style>
  <w:style w:type="paragraph" w:styleId="1050">
    <w:name w:val="Heading 4"/>
    <w:basedOn w:val="1046"/>
    <w:next w:val="1046"/>
    <w:link w:val="1189"/>
    <w:uiPriority w:val="9"/>
    <w:unhideWhenUsed/>
    <w:qFormat/>
    <w:pPr>
      <w:keepLines/>
      <w:keepNext/>
      <w:spacing w:before="320" w:after="200"/>
      <w:outlineLvl w:val="3"/>
    </w:pPr>
    <w:rPr>
      <w:rFonts w:ascii="Arial" w:hAnsi="Arial" w:eastAsia="Arial" w:cs="Arial"/>
      <w:b/>
      <w:bCs/>
      <w:sz w:val="26"/>
      <w:szCs w:val="26"/>
    </w:rPr>
  </w:style>
  <w:style w:type="paragraph" w:styleId="1051">
    <w:name w:val="Heading 5"/>
    <w:basedOn w:val="1046"/>
    <w:next w:val="1046"/>
    <w:link w:val="1190"/>
    <w:uiPriority w:val="9"/>
    <w:unhideWhenUsed/>
    <w:qFormat/>
    <w:pPr>
      <w:keepLines/>
      <w:keepNext/>
      <w:spacing w:before="320" w:after="200"/>
      <w:outlineLvl w:val="4"/>
    </w:pPr>
    <w:rPr>
      <w:rFonts w:ascii="Arial" w:hAnsi="Arial" w:eastAsia="Arial" w:cs="Arial"/>
      <w:b/>
      <w:bCs/>
      <w:sz w:val="24"/>
      <w:szCs w:val="24"/>
    </w:rPr>
  </w:style>
  <w:style w:type="paragraph" w:styleId="1052">
    <w:name w:val="Heading 6"/>
    <w:basedOn w:val="1046"/>
    <w:next w:val="1046"/>
    <w:link w:val="1191"/>
    <w:uiPriority w:val="9"/>
    <w:unhideWhenUsed/>
    <w:qFormat/>
    <w:pPr>
      <w:keepLines/>
      <w:keepNext/>
      <w:spacing w:before="320" w:after="200"/>
      <w:outlineLvl w:val="5"/>
    </w:pPr>
    <w:rPr>
      <w:rFonts w:ascii="Arial" w:hAnsi="Arial" w:eastAsia="Arial" w:cs="Arial"/>
      <w:b/>
      <w:bCs/>
      <w:sz w:val="22"/>
      <w:szCs w:val="22"/>
    </w:rPr>
  </w:style>
  <w:style w:type="paragraph" w:styleId="1053">
    <w:name w:val="Heading 7"/>
    <w:basedOn w:val="1046"/>
    <w:next w:val="1046"/>
    <w:link w:val="1192"/>
    <w:uiPriority w:val="9"/>
    <w:unhideWhenUsed/>
    <w:qFormat/>
    <w:pPr>
      <w:keepLines/>
      <w:keepNext/>
      <w:spacing w:before="320" w:after="200"/>
      <w:outlineLvl w:val="6"/>
    </w:pPr>
    <w:rPr>
      <w:rFonts w:ascii="Arial" w:hAnsi="Arial" w:eastAsia="Arial" w:cs="Arial"/>
      <w:b/>
      <w:bCs/>
      <w:i/>
      <w:iCs/>
      <w:sz w:val="22"/>
      <w:szCs w:val="22"/>
    </w:rPr>
  </w:style>
  <w:style w:type="paragraph" w:styleId="1054">
    <w:name w:val="Heading 8"/>
    <w:basedOn w:val="1046"/>
    <w:next w:val="1046"/>
    <w:link w:val="1193"/>
    <w:uiPriority w:val="9"/>
    <w:unhideWhenUsed/>
    <w:qFormat/>
    <w:pPr>
      <w:keepLines/>
      <w:keepNext/>
      <w:spacing w:before="320" w:after="200"/>
      <w:outlineLvl w:val="7"/>
    </w:pPr>
    <w:rPr>
      <w:rFonts w:ascii="Arial" w:hAnsi="Arial" w:eastAsia="Arial" w:cs="Arial"/>
      <w:i/>
      <w:iCs/>
      <w:sz w:val="22"/>
      <w:szCs w:val="22"/>
    </w:rPr>
  </w:style>
  <w:style w:type="paragraph" w:styleId="1055">
    <w:name w:val="Heading 9"/>
    <w:basedOn w:val="1046"/>
    <w:next w:val="1046"/>
    <w:link w:val="1194"/>
    <w:uiPriority w:val="9"/>
    <w:unhideWhenUsed/>
    <w:qFormat/>
    <w:pPr>
      <w:keepLines/>
      <w:keepNext/>
      <w:spacing w:before="320" w:after="200"/>
      <w:outlineLvl w:val="8"/>
    </w:pPr>
    <w:rPr>
      <w:rFonts w:ascii="Arial" w:hAnsi="Arial" w:eastAsia="Arial" w:cs="Arial"/>
      <w:i/>
      <w:iCs/>
    </w:rPr>
  </w:style>
  <w:style w:type="character" w:styleId="1056" w:default="1">
    <w:name w:val="Default Paragraph Font"/>
    <w:uiPriority w:val="1"/>
    <w:semiHidden/>
    <w:unhideWhenUsed/>
    <w:qFormat/>
  </w:style>
  <w:style w:type="table" w:styleId="1057" w:default="1">
    <w:name w:val="Normal Table"/>
    <w:uiPriority w:val="99"/>
    <w:semiHidden/>
    <w:unhideWhenUsed/>
    <w:qFormat/>
    <w:tblPr>
      <w:tblCellMar>
        <w:left w:w="108" w:type="dxa"/>
        <w:top w:w="0" w:type="dxa"/>
        <w:right w:w="108" w:type="dxa"/>
        <w:bottom w:w="0" w:type="dxa"/>
      </w:tblCellMar>
    </w:tblPr>
  </w:style>
  <w:style w:type="paragraph" w:styleId="1058">
    <w:name w:val="toc 7"/>
    <w:basedOn w:val="1046"/>
    <w:next w:val="1046"/>
    <w:uiPriority w:val="39"/>
    <w:unhideWhenUsed/>
    <w:qFormat/>
    <w:pPr>
      <w:ind w:left="1701"/>
      <w:spacing w:after="57"/>
    </w:pPr>
  </w:style>
  <w:style w:type="paragraph" w:styleId="1059">
    <w:name w:val="Normal Indent"/>
    <w:basedOn w:val="1046"/>
    <w:next w:val="1046"/>
    <w:uiPriority w:val="0"/>
    <w:qFormat/>
    <w:pPr>
      <w:ind w:firstLine="420"/>
      <w:jc w:val="left"/>
      <w:widowControl/>
    </w:pPr>
    <w:rPr>
      <w:rFonts w:eastAsia="??"/>
      <w:sz w:val="24"/>
    </w:rPr>
  </w:style>
  <w:style w:type="paragraph" w:styleId="1060">
    <w:name w:val="Caption"/>
    <w:basedOn w:val="1046"/>
    <w:next w:val="1046"/>
    <w:uiPriority w:val="35"/>
    <w:semiHidden/>
    <w:unhideWhenUsed/>
    <w:qFormat/>
    <w:pPr>
      <w:spacing w:line="276" w:lineRule="auto"/>
    </w:pPr>
    <w:rPr>
      <w:b/>
      <w:bCs/>
      <w:color w:val="4f81bd"/>
      <w:sz w:val="18"/>
      <w:szCs w:val="18"/>
    </w:rPr>
  </w:style>
  <w:style w:type="paragraph" w:styleId="1061">
    <w:name w:val="Document Map"/>
    <w:basedOn w:val="1046"/>
    <w:uiPriority w:val="0"/>
    <w:qFormat/>
    <w:rPr>
      <w:rFonts w:ascii="宋体" w:hAnsi="Calibri"/>
      <w:sz w:val="18"/>
      <w:szCs w:val="18"/>
    </w:rPr>
  </w:style>
  <w:style w:type="paragraph" w:styleId="1062">
    <w:name w:val="annotation text"/>
    <w:basedOn w:val="1046"/>
    <w:link w:val="1447"/>
    <w:uiPriority w:val="99"/>
    <w:semiHidden/>
    <w:unhideWhenUsed/>
    <w:qFormat/>
    <w:pPr>
      <w:jc w:val="left"/>
    </w:pPr>
  </w:style>
  <w:style w:type="paragraph" w:styleId="1063">
    <w:name w:val="Body Text"/>
    <w:basedOn w:val="1046"/>
    <w:next w:val="1064"/>
    <w:link w:val="1449"/>
    <w:uiPriority w:val="0"/>
    <w:qFormat/>
    <w:pPr>
      <w:jc w:val="left"/>
      <w:spacing w:after="120"/>
    </w:pPr>
    <w:rPr>
      <w:rFonts w:ascii="Times New Roman" w:hAnsi="Times New Roman"/>
      <w:sz w:val="20"/>
      <w:szCs w:val="20"/>
    </w:rPr>
  </w:style>
  <w:style w:type="paragraph" w:styleId="1064" w:customStyle="1">
    <w:name w:val="一级条标题"/>
    <w:basedOn w:val="1065"/>
    <w:next w:val="10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5" w:customStyle="1">
    <w:name w:val="章标题"/>
    <w:next w:val="10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6" w:customStyle="1">
    <w:name w:val="段"/>
    <w:basedOn w:val="1067"/>
    <w:next w:val="1046"/>
    <w:uiPriority w:val="0"/>
    <w:qFormat/>
    <w:pPr>
      <w:ind w:firstLine="200"/>
    </w:pPr>
  </w:style>
  <w:style w:type="paragraph" w:styleId="1067" w:customStyle="1">
    <w:name w:val="正文13"/>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首行缩进1"/>
    <w:basedOn w:val="1069"/>
    <w:next w:val="1081"/>
    <w:link w:val="1338"/>
    <w:uiPriority w:val="0"/>
    <w:qFormat/>
    <w:pPr>
      <w:ind w:firstLine="420"/>
      <w:widowControl w:val="off"/>
    </w:pPr>
    <w:rPr>
      <w:sz w:val="21"/>
    </w:rPr>
  </w:style>
  <w:style w:type="paragraph" w:styleId="1069" w:customStyle="1">
    <w:name w:val="正文文本11"/>
    <w:basedOn w:val="1070"/>
    <w:next w:val="1072"/>
    <w:link w:val="1324"/>
    <w:uiPriority w:val="0"/>
    <w:qFormat/>
    <w:pPr>
      <w:spacing w:after="120"/>
    </w:pPr>
  </w:style>
  <w:style w:type="paragraph" w:styleId="1070" w:customStyle="1">
    <w:name w:val="正文12"/>
    <w:next w:val="1071"/>
    <w:uiPriority w:val="0"/>
    <w:qFormat/>
    <w:pPr>
      <w:jc w:val="both"/>
      <w:widowControl w:val="off"/>
    </w:pPr>
    <w:rPr>
      <w:rFonts w:hint="default" w:ascii="Calibri" w:hAnsi="Calibri" w:eastAsia="Calibri" w:cs="Times New Roman"/>
      <w:sz w:val="21"/>
      <w:szCs w:val="24"/>
      <w:lang w:val="en-US" w:eastAsia="zh-CN" w:bidi="ar-SA"/>
    </w:rPr>
  </w:style>
  <w:style w:type="paragraph" w:styleId="1071" w:customStyle="1">
    <w:name w:val="标题 21"/>
    <w:basedOn w:val="1072"/>
    <w:next w:val="10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72" w:customStyle="1">
    <w:name w:val="正文111"/>
    <w:next w:val="1073"/>
    <w:uiPriority w:val="0"/>
    <w:qFormat/>
    <w:pPr>
      <w:jc w:val="both"/>
      <w:widowControl w:val="off"/>
    </w:pPr>
    <w:rPr>
      <w:rFonts w:hint="default" w:ascii="Calibri" w:hAnsi="Calibri" w:eastAsia="宋体" w:cs="Calibri"/>
      <w:color w:val="000000"/>
      <w:sz w:val="22"/>
      <w:szCs w:val="22"/>
      <w:lang w:val="en-US" w:eastAsia="zh-CN" w:bidi="ar-SA"/>
    </w:rPr>
  </w:style>
  <w:style w:type="paragraph" w:styleId="1073" w:customStyle="1">
    <w:name w:val="正文文本缩进1"/>
    <w:basedOn w:val="1074"/>
    <w:next w:val="1080"/>
    <w:uiPriority w:val="0"/>
    <w:qFormat/>
    <w:pPr>
      <w:ind w:left="420"/>
      <w:spacing w:after="120"/>
    </w:pPr>
  </w:style>
  <w:style w:type="paragraph" w:styleId="1074" w:customStyle="1">
    <w:name w:val="正文1"/>
    <w:basedOn w:val="1075"/>
    <w:next w:val="1078"/>
    <w:link w:val="1345"/>
    <w:uiPriority w:val="0"/>
    <w:qFormat/>
    <w:pPr>
      <w:jc w:val="left"/>
      <w:spacing w:line="360" w:lineRule="atLeast"/>
    </w:pPr>
    <w:rPr>
      <w:rFonts w:ascii="宋体"/>
      <w:sz w:val="24"/>
    </w:rPr>
  </w:style>
  <w:style w:type="paragraph" w:styleId="1075" w:customStyle="1">
    <w:name w:val="正文11"/>
    <w:next w:val="1076"/>
    <w:link w:val="1428"/>
    <w:uiPriority w:val="0"/>
    <w:qFormat/>
    <w:pPr>
      <w:jc w:val="both"/>
    </w:pPr>
    <w:rPr>
      <w:rFonts w:hint="default" w:ascii="Times New Roman" w:hAnsi="Times New Roman" w:eastAsia="宋体" w:cs="Times New Roman"/>
      <w:lang w:val="en-US" w:eastAsia="zh-CN" w:bidi="ar-SA"/>
    </w:rPr>
  </w:style>
  <w:style w:type="paragraph" w:styleId="1076" w:customStyle="1">
    <w:name w:val="文本块1"/>
    <w:basedOn w:val="1072"/>
    <w:next w:val="1077"/>
    <w:uiPriority w:val="0"/>
    <w:qFormat/>
    <w:pPr>
      <w:ind w:left="256" w:right="6" w:firstLine="624"/>
    </w:pPr>
    <w:rPr>
      <w:rFonts w:eastAsia="仿宋_GB2312"/>
      <w:sz w:val="28"/>
    </w:rPr>
  </w:style>
  <w:style w:type="paragraph" w:styleId="1077" w:customStyle="1">
    <w:name w:val="标题 41"/>
    <w:basedOn w:val="1070"/>
    <w:next w:val="1075"/>
    <w:uiPriority w:val="0"/>
    <w:qFormat/>
    <w:pPr>
      <w:keepLines/>
      <w:keepNext/>
      <w:spacing w:line="360" w:lineRule="auto"/>
      <w:outlineLvl w:val="3"/>
    </w:pPr>
    <w:rPr>
      <w:rFonts w:ascii="Arial" w:hAnsi="Arial"/>
      <w:b/>
      <w:bCs/>
      <w:sz w:val="21"/>
      <w:szCs w:val="28"/>
    </w:rPr>
  </w:style>
  <w:style w:type="paragraph" w:styleId="1078" w:customStyle="1">
    <w:name w:val="目录 11"/>
    <w:basedOn w:val="1079"/>
    <w:next w:val="1070"/>
    <w:uiPriority w:val="0"/>
    <w:qFormat/>
  </w:style>
  <w:style w:type="paragraph" w:styleId="1079" w:customStyle="1">
    <w:name w:val="正文112"/>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寄信人地址1"/>
    <w:basedOn w:val="1075"/>
    <w:uiPriority w:val="0"/>
    <w:qFormat/>
    <w:rPr>
      <w:rFonts w:ascii="Arial" w:hAnsi="Arial"/>
    </w:rPr>
  </w:style>
  <w:style w:type="paragraph" w:styleId="1081" w:customStyle="1">
    <w:name w:val="正文首行缩进 211"/>
    <w:basedOn w:val="1082"/>
    <w:next w:val="1079"/>
    <w:uiPriority w:val="99"/>
    <w:qFormat/>
    <w:pPr>
      <w:ind w:left="0" w:firstLine="420"/>
      <w:spacing w:after="0" w:line="360" w:lineRule="auto"/>
    </w:pPr>
    <w:rPr>
      <w:rFonts w:ascii="宋体" w:hAnsi="宋体"/>
    </w:rPr>
  </w:style>
  <w:style w:type="paragraph" w:styleId="1082" w:customStyle="1">
    <w:name w:val="正文文本缩进11"/>
    <w:basedOn w:val="1070"/>
    <w:next w:val="1079"/>
    <w:uiPriority w:val="0"/>
    <w:qFormat/>
    <w:pPr>
      <w:ind w:left="420"/>
      <w:spacing w:after="120"/>
    </w:pPr>
  </w:style>
  <w:style w:type="paragraph" w:styleId="1083">
    <w:name w:val="Body Text Indent"/>
    <w:basedOn w:val="1046"/>
    <w:next w:val="1084"/>
    <w:link w:val="1452"/>
    <w:uiPriority w:val="0"/>
    <w:qFormat/>
    <w:pPr>
      <w:ind w:left="420"/>
      <w:spacing w:after="120"/>
    </w:pPr>
  </w:style>
  <w:style w:type="paragraph" w:styleId="1084">
    <w:name w:val="envelope return"/>
    <w:basedOn w:val="1046"/>
    <w:uiPriority w:val="0"/>
    <w:qFormat/>
    <w:rPr>
      <w:rFonts w:ascii="Arial" w:hAnsi="Arial"/>
    </w:rPr>
  </w:style>
  <w:style w:type="paragraph" w:styleId="1085">
    <w:name w:val="Block Text"/>
    <w:basedOn w:val="1046"/>
    <w:next w:val="1046"/>
    <w:uiPriority w:val="0"/>
    <w:qFormat/>
    <w:pPr>
      <w:ind w:left="256" w:right="6" w:firstLine="624"/>
    </w:pPr>
    <w:rPr>
      <w:rFonts w:eastAsia="仿宋_GB2312"/>
      <w:sz w:val="28"/>
      <w:szCs w:val="20"/>
    </w:rPr>
  </w:style>
  <w:style w:type="paragraph" w:styleId="1086">
    <w:name w:val="toc 5"/>
    <w:basedOn w:val="1046"/>
    <w:next w:val="1046"/>
    <w:uiPriority w:val="39"/>
    <w:unhideWhenUsed/>
    <w:qFormat/>
    <w:pPr>
      <w:ind w:left="1134"/>
      <w:spacing w:after="57"/>
    </w:pPr>
  </w:style>
  <w:style w:type="paragraph" w:styleId="1087">
    <w:name w:val="toc 3"/>
    <w:basedOn w:val="1046"/>
    <w:next w:val="1046"/>
    <w:uiPriority w:val="39"/>
    <w:unhideWhenUsed/>
    <w:qFormat/>
    <w:pPr>
      <w:ind w:left="567"/>
      <w:spacing w:after="57"/>
    </w:pPr>
  </w:style>
  <w:style w:type="paragraph" w:styleId="1088">
    <w:name w:val="Plain Text"/>
    <w:basedOn w:val="1046"/>
    <w:uiPriority w:val="0"/>
    <w:qFormat/>
    <w:rPr>
      <w:rFonts w:ascii="宋体" w:hAnsi="Courier New"/>
    </w:rPr>
  </w:style>
  <w:style w:type="paragraph" w:styleId="1089">
    <w:name w:val="toc 8"/>
    <w:basedOn w:val="1046"/>
    <w:next w:val="1046"/>
    <w:uiPriority w:val="39"/>
    <w:unhideWhenUsed/>
    <w:qFormat/>
    <w:pPr>
      <w:ind w:left="1984"/>
      <w:spacing w:after="57"/>
    </w:pPr>
  </w:style>
  <w:style w:type="paragraph" w:styleId="1090">
    <w:name w:val="endnote text"/>
    <w:basedOn w:val="1046"/>
    <w:link w:val="1312"/>
    <w:uiPriority w:val="99"/>
    <w:semiHidden/>
    <w:unhideWhenUsed/>
    <w:qFormat/>
    <w:rPr>
      <w:sz w:val="20"/>
    </w:rPr>
  </w:style>
  <w:style w:type="paragraph" w:styleId="1091">
    <w:name w:val="Balloon Text"/>
    <w:basedOn w:val="1046"/>
    <w:link w:val="1450"/>
    <w:uiPriority w:val="99"/>
    <w:semiHidden/>
    <w:unhideWhenUsed/>
    <w:qFormat/>
    <w:rPr>
      <w:sz w:val="18"/>
      <w:szCs w:val="18"/>
    </w:rPr>
  </w:style>
  <w:style w:type="paragraph" w:styleId="1092">
    <w:name w:val="Footer"/>
    <w:basedOn w:val="1046"/>
    <w:link w:val="1204"/>
    <w:uiPriority w:val="99"/>
    <w:unhideWhenUsed/>
    <w:qFormat/>
    <w:pPr>
      <w:tabs>
        <w:tab w:val="center" w:pos="7143" w:leader="none"/>
        <w:tab w:val="right" w:pos="14287" w:leader="none"/>
      </w:tabs>
    </w:pPr>
  </w:style>
  <w:style w:type="paragraph" w:styleId="1093">
    <w:name w:val="Header"/>
    <w:basedOn w:val="1046"/>
    <w:link w:val="1202"/>
    <w:uiPriority w:val="99"/>
    <w:unhideWhenUsed/>
    <w:qFormat/>
    <w:pPr>
      <w:tabs>
        <w:tab w:val="center" w:pos="7143" w:leader="none"/>
        <w:tab w:val="right" w:pos="14287" w:leader="none"/>
      </w:tabs>
    </w:pPr>
  </w:style>
  <w:style w:type="paragraph" w:styleId="1094">
    <w:name w:val="toc 1"/>
    <w:basedOn w:val="1046"/>
    <w:next w:val="1046"/>
    <w:uiPriority w:val="39"/>
    <w:unhideWhenUsed/>
    <w:qFormat/>
    <w:pPr>
      <w:spacing w:after="57"/>
    </w:pPr>
  </w:style>
  <w:style w:type="paragraph" w:styleId="1095">
    <w:name w:val="toc 4"/>
    <w:basedOn w:val="1046"/>
    <w:next w:val="1046"/>
    <w:uiPriority w:val="39"/>
    <w:unhideWhenUsed/>
    <w:qFormat/>
    <w:pPr>
      <w:ind w:left="850"/>
      <w:spacing w:after="57"/>
    </w:pPr>
  </w:style>
  <w:style w:type="paragraph" w:styleId="1096">
    <w:name w:val="Subtitle"/>
    <w:basedOn w:val="1046"/>
    <w:next w:val="1046"/>
    <w:link w:val="1197"/>
    <w:uiPriority w:val="11"/>
    <w:qFormat/>
    <w:pPr>
      <w:spacing w:before="200" w:after="200"/>
    </w:pPr>
    <w:rPr>
      <w:sz w:val="24"/>
      <w:szCs w:val="24"/>
    </w:rPr>
  </w:style>
  <w:style w:type="paragraph" w:styleId="1097">
    <w:name w:val="footnote text"/>
    <w:basedOn w:val="1046"/>
    <w:link w:val="1311"/>
    <w:uiPriority w:val="99"/>
    <w:semiHidden/>
    <w:unhideWhenUsed/>
    <w:qFormat/>
    <w:pPr>
      <w:spacing w:after="40"/>
    </w:pPr>
    <w:rPr>
      <w:sz w:val="18"/>
    </w:rPr>
  </w:style>
  <w:style w:type="paragraph" w:styleId="1098">
    <w:name w:val="toc 6"/>
    <w:basedOn w:val="1046"/>
    <w:next w:val="1046"/>
    <w:uiPriority w:val="39"/>
    <w:unhideWhenUsed/>
    <w:qFormat/>
    <w:pPr>
      <w:ind w:left="1417"/>
      <w:spacing w:after="57"/>
    </w:pPr>
  </w:style>
  <w:style w:type="paragraph" w:styleId="1099">
    <w:name w:val="table of figures"/>
    <w:basedOn w:val="1046"/>
    <w:next w:val="1046"/>
    <w:uiPriority w:val="99"/>
    <w:unhideWhenUsed/>
    <w:qFormat/>
  </w:style>
  <w:style w:type="paragraph" w:styleId="1100">
    <w:name w:val="toc 2"/>
    <w:basedOn w:val="1046"/>
    <w:next w:val="1046"/>
    <w:uiPriority w:val="39"/>
    <w:unhideWhenUsed/>
    <w:qFormat/>
    <w:pPr>
      <w:ind w:left="283"/>
      <w:spacing w:after="57"/>
    </w:pPr>
  </w:style>
  <w:style w:type="paragraph" w:styleId="1101">
    <w:name w:val="toc 9"/>
    <w:basedOn w:val="1046"/>
    <w:next w:val="1046"/>
    <w:uiPriority w:val="39"/>
    <w:unhideWhenUsed/>
    <w:qFormat/>
    <w:pPr>
      <w:ind w:left="2268"/>
      <w:spacing w:after="57"/>
    </w:pPr>
  </w:style>
  <w:style w:type="paragraph" w:styleId="1102">
    <w:name w:val="Normal (Web)"/>
    <w:basedOn w:val="1046"/>
    <w:uiPriority w:val="99"/>
    <w:semiHidden/>
    <w:unhideWhenUsed/>
    <w:qFormat/>
    <w:rPr>
      <w:rFonts w:ascii="Times New Roman" w:hAnsi="Times New Roman"/>
      <w:sz w:val="24"/>
      <w:szCs w:val="24"/>
    </w:rPr>
  </w:style>
  <w:style w:type="paragraph" w:styleId="1103">
    <w:name w:val="Title"/>
    <w:basedOn w:val="1046"/>
    <w:next w:val="1046"/>
    <w:link w:val="1196"/>
    <w:uiPriority w:val="10"/>
    <w:qFormat/>
    <w:pPr>
      <w:contextualSpacing/>
      <w:spacing w:before="300" w:after="200"/>
    </w:pPr>
    <w:rPr>
      <w:sz w:val="48"/>
      <w:szCs w:val="48"/>
    </w:rPr>
  </w:style>
  <w:style w:type="paragraph" w:styleId="1104">
    <w:name w:val="annotation subject"/>
    <w:basedOn w:val="1062"/>
    <w:next w:val="1062"/>
    <w:link w:val="1446"/>
    <w:uiPriority w:val="0"/>
    <w:qFormat/>
    <w:rPr>
      <w:rFonts w:ascii="Times New Roman" w:hAnsi="Times New Roman"/>
      <w:b/>
      <w:bCs/>
      <w:sz w:val="24"/>
      <w:szCs w:val="24"/>
    </w:rPr>
  </w:style>
  <w:style w:type="paragraph" w:styleId="1105">
    <w:name w:val="Body Text First Indent 2"/>
    <w:basedOn w:val="1083"/>
    <w:next w:val="1046"/>
    <w:uiPriority w:val="0"/>
    <w:qFormat/>
    <w:pPr>
      <w:ind w:firstLine="420"/>
      <w:spacing w:line="360" w:lineRule="auto"/>
    </w:pPr>
    <w:rPr>
      <w:color w:val="000000"/>
    </w:rPr>
  </w:style>
  <w:style w:type="table" w:styleId="110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07">
    <w:name w:val="Strong"/>
    <w:basedOn w:val="1056"/>
    <w:uiPriority w:val="22"/>
    <w:qFormat/>
    <w:rPr>
      <w:b/>
    </w:rPr>
  </w:style>
  <w:style w:type="character" w:styleId="1108">
    <w:name w:val="endnote reference"/>
    <w:uiPriority w:val="99"/>
    <w:semiHidden/>
    <w:unhideWhenUsed/>
    <w:qFormat/>
    <w:rPr>
      <w:vertAlign w:val="superscript"/>
    </w:rPr>
  </w:style>
  <w:style w:type="character" w:styleId="1109">
    <w:name w:val="page number"/>
    <w:basedOn w:val="1056"/>
    <w:uiPriority w:val="0"/>
    <w:qFormat/>
  </w:style>
  <w:style w:type="character" w:styleId="1110">
    <w:name w:val="Emphasis"/>
    <w:basedOn w:val="1056"/>
    <w:uiPriority w:val="20"/>
    <w:qFormat/>
    <w:rPr>
      <w:i/>
    </w:rPr>
  </w:style>
  <w:style w:type="character" w:styleId="1111">
    <w:name w:val="Hyperlink"/>
    <w:basedOn w:val="1056"/>
    <w:uiPriority w:val="99"/>
    <w:unhideWhenUsed/>
    <w:qFormat/>
    <w:rPr>
      <w:color w:val="0000ff"/>
      <w:u w:val="single"/>
    </w:rPr>
  </w:style>
  <w:style w:type="character" w:styleId="1112">
    <w:name w:val="annotation reference"/>
    <w:basedOn w:val="1056"/>
    <w:uiPriority w:val="99"/>
    <w:semiHidden/>
    <w:unhideWhenUsed/>
    <w:qFormat/>
    <w:rPr>
      <w:sz w:val="21"/>
      <w:szCs w:val="21"/>
    </w:rPr>
  </w:style>
  <w:style w:type="character" w:styleId="1113">
    <w:name w:val="footnote reference"/>
    <w:uiPriority w:val="99"/>
    <w:unhideWhenUsed/>
    <w:qFormat/>
    <w:rPr>
      <w:vertAlign w:val="superscript"/>
    </w:rPr>
  </w:style>
  <w:style w:type="paragraph" w:styleId="1114" w:customStyle="1">
    <w:name w:val="正文文本1"/>
    <w:basedOn w:val="1115"/>
    <w:next w:val="1064"/>
    <w:uiPriority w:val="0"/>
    <w:qFormat/>
    <w:rPr>
      <w:rFonts w:eastAsia="黑体"/>
      <w:b/>
      <w:bCs/>
      <w:spacing w:val="20"/>
      <w:sz w:val="56"/>
    </w:rPr>
  </w:style>
  <w:style w:type="paragraph" w:styleId="1115" w:customStyle="1">
    <w:name w:val="正文1111"/>
    <w:next w:val="11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文本块11"/>
    <w:basedOn w:val="1117"/>
    <w:uiPriority w:val="0"/>
    <w:qFormat/>
    <w:pPr>
      <w:ind w:left="256" w:right="6" w:firstLine="624"/>
    </w:pPr>
    <w:rPr>
      <w:rFonts w:ascii="Arial" w:hAnsi="Arial" w:eastAsia="仿宋"/>
      <w:sz w:val="28"/>
    </w:rPr>
  </w:style>
  <w:style w:type="paragraph" w:styleId="1117" w:customStyle="1">
    <w:name w:val="正文121"/>
    <w:next w:val="11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无间隔1"/>
    <w:uiPriority w:val="0"/>
    <w:qFormat/>
    <w:rPr>
      <w:rFonts w:hint="default" w:ascii="Times New Roman" w:hAnsi="Times New Roman" w:eastAsia="宋体" w:cs="Times New Roman"/>
      <w:sz w:val="22"/>
      <w:szCs w:val="22"/>
      <w:lang w:val="en-US" w:eastAsia="en-US" w:bidi="ar-SA"/>
    </w:rPr>
  </w:style>
  <w:style w:type="paragraph" w:styleId="1119" w:customStyle="1">
    <w:name w:val="寄信人地址11"/>
    <w:basedOn w:val="1046"/>
    <w:uiPriority w:val="0"/>
    <w:qFormat/>
    <w:rPr>
      <w:rFonts w:ascii="Arial" w:hAnsi="Arial"/>
    </w:rPr>
  </w:style>
  <w:style w:type="paragraph" w:styleId="1120" w:customStyle="1">
    <w:name w:val="脚注文本1"/>
    <w:basedOn w:val="1074"/>
    <w:next w:val="1121"/>
    <w:uiPriority w:val="0"/>
    <w:qFormat/>
    <w:rPr>
      <w:rFonts w:ascii="宋体" w:eastAsia="Times New Roman"/>
      <w:sz w:val="18"/>
      <w:szCs w:val="18"/>
    </w:rPr>
  </w:style>
  <w:style w:type="paragraph" w:styleId="1121" w:customStyle="1">
    <w:name w:val="索引 51"/>
    <w:basedOn w:val="1074"/>
    <w:next w:val="1074"/>
    <w:uiPriority w:val="0"/>
    <w:qFormat/>
    <w:pPr>
      <w:ind w:left="798"/>
    </w:pPr>
    <w:rPr>
      <w:rFonts w:ascii="Calibri" w:hAnsi="Calibri"/>
    </w:rPr>
  </w:style>
  <w:style w:type="paragraph" w:styleId="1122" w:customStyle="1">
    <w:name w:val="文本块12"/>
    <w:basedOn w:val="1046"/>
    <w:uiPriority w:val="6"/>
    <w:qFormat/>
    <w:pPr>
      <w:ind w:left="256" w:right="6" w:firstLine="624"/>
    </w:pPr>
    <w:rPr>
      <w:rFonts w:ascii="Times New Roman" w:hAnsi="Times New Roman" w:eastAsia="仿宋" w:cs="Times New Roman"/>
      <w:sz w:val="28"/>
      <w:szCs w:val="20"/>
    </w:rPr>
  </w:style>
  <w:style w:type="paragraph" w:styleId="1123" w:customStyle="1">
    <w:name w:val="正文文本111"/>
    <w:basedOn w:val="1070"/>
    <w:next w:val="1070"/>
    <w:uiPriority w:val="0"/>
    <w:qFormat/>
  </w:style>
  <w:style w:type="paragraph" w:styleId="1124" w:customStyle="1">
    <w:name w:val="正文首行缩进11"/>
    <w:basedOn w:val="1069"/>
    <w:next w:val="1081"/>
    <w:uiPriority w:val="0"/>
    <w:qFormat/>
    <w:pPr>
      <w:ind w:firstLine="420"/>
    </w:pPr>
    <w:rPr>
      <w:rFonts w:ascii="仿宋_GB2312" w:eastAsia="仿宋_GB2312"/>
      <w:sz w:val="30"/>
      <w:szCs w:val="30"/>
    </w:rPr>
  </w:style>
  <w:style w:type="paragraph" w:styleId="1125" w:customStyle="1">
    <w:name w:val="正文首行缩进 21"/>
    <w:basedOn w:val="1073"/>
    <w:next w:val="1072"/>
    <w:uiPriority w:val="0"/>
    <w:qFormat/>
    <w:pPr>
      <w:ind w:firstLine="420"/>
    </w:pPr>
    <w:rPr>
      <w:rFonts w:ascii="仿宋_GB2312" w:eastAsia="仿宋_GB2312"/>
      <w:color w:val="ff6600"/>
      <w:sz w:val="21"/>
    </w:rPr>
  </w:style>
  <w:style w:type="paragraph" w:styleId="1126" w:customStyle="1">
    <w:name w:val="目录 111"/>
    <w:basedOn w:val="1067"/>
    <w:next w:val="1070"/>
    <w:uiPriority w:val="0"/>
    <w:qFormat/>
    <w:pPr>
      <w:spacing w:after="57"/>
    </w:pPr>
  </w:style>
  <w:style w:type="table" w:styleId="1127" w:customStyle="1">
    <w:name w:val="Plain Table 1"/>
    <w:basedOn w:val="10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Plain Table 2"/>
    <w:basedOn w:val="10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9" w:customStyle="1">
    <w:name w:val="Plain Table 3"/>
    <w:basedOn w:val="10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0" w:customStyle="1">
    <w:name w:val="Plain Table 4"/>
    <w:basedOn w:val="10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1" w:customStyle="1">
    <w:name w:val="Plain Table 5"/>
    <w:basedOn w:val="10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2" w:customStyle="1">
    <w:name w:val="Grid Table 1 Light"/>
    <w:basedOn w:val="10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3" w:customStyle="1">
    <w:name w:val="Grid Table 2"/>
    <w:basedOn w:val="10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4" w:customStyle="1">
    <w:name w:val="Grid Table 3"/>
    <w:basedOn w:val="10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4"/>
    <w:basedOn w:val="10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6" w:customStyle="1">
    <w:name w:val="Grid Table 5 Dark"/>
    <w:basedOn w:val="10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7" w:customStyle="1">
    <w:name w:val="Grid Table 6 Colorful"/>
    <w:basedOn w:val="10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8" w:customStyle="1">
    <w:name w:val="Grid Table 7 Colorful"/>
    <w:basedOn w:val="10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1 Light"/>
    <w:basedOn w:val="10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0" w:customStyle="1">
    <w:name w:val="List Table 2"/>
    <w:basedOn w:val="10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1" w:customStyle="1">
    <w:name w:val="List Table 3"/>
    <w:basedOn w:val="10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List Table 4"/>
    <w:basedOn w:val="10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5 Dark"/>
    <w:basedOn w:val="10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6 Colorful"/>
    <w:basedOn w:val="10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5" w:customStyle="1">
    <w:name w:val="List Table 7 Colorful"/>
    <w:basedOn w:val="10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6" w:customStyle="1">
    <w:name w:val="TOC Heading"/>
    <w:uiPriority w:val="39"/>
    <w:unhideWhenUsed/>
    <w:qFormat/>
    <w:rPr>
      <w:rFonts w:hint="default" w:ascii="Times New Roman" w:hAnsi="Times New Roman" w:eastAsia="宋体" w:cs="Times New Roman"/>
    </w:rPr>
  </w:style>
  <w:style w:type="paragraph" w:styleId="1147"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148" w:customStyle="1">
    <w:name w:val="索引 41"/>
    <w:basedOn w:val="1074"/>
    <w:next w:val="1074"/>
    <w:uiPriority w:val="0"/>
    <w:unhideWhenUsed/>
    <w:qFormat/>
    <w:pPr>
      <w:ind w:left="600"/>
      <w:jc w:val="both"/>
    </w:pPr>
    <w:rPr>
      <w:rFonts w:ascii="Calibri"/>
      <w:sz w:val="22"/>
    </w:rPr>
  </w:style>
  <w:style w:type="character" w:styleId="1149" w:customStyle="1">
    <w:name w:val="Heading 1 Char"/>
    <w:uiPriority w:val="9"/>
    <w:qFormat/>
    <w:rPr>
      <w:rFonts w:ascii="Arial" w:hAnsi="Arial" w:eastAsia="Arial" w:cs="Arial"/>
      <w:sz w:val="40"/>
      <w:szCs w:val="40"/>
    </w:rPr>
  </w:style>
  <w:style w:type="character" w:styleId="1150" w:customStyle="1">
    <w:name w:val="Heading 2 Char"/>
    <w:uiPriority w:val="9"/>
    <w:qFormat/>
    <w:rPr>
      <w:rFonts w:ascii="Arial" w:hAnsi="Arial" w:eastAsia="Arial" w:cs="Arial"/>
      <w:sz w:val="34"/>
    </w:rPr>
  </w:style>
  <w:style w:type="character" w:styleId="1151" w:customStyle="1">
    <w:name w:val="Heading 3 Char"/>
    <w:uiPriority w:val="9"/>
    <w:qFormat/>
    <w:rPr>
      <w:rFonts w:ascii="Arial" w:hAnsi="Arial" w:eastAsia="Arial" w:cs="Arial"/>
      <w:sz w:val="30"/>
      <w:szCs w:val="30"/>
    </w:rPr>
  </w:style>
  <w:style w:type="character" w:styleId="1152" w:customStyle="1">
    <w:name w:val="Heading 4 Char"/>
    <w:uiPriority w:val="9"/>
    <w:qFormat/>
    <w:rPr>
      <w:rFonts w:ascii="Arial" w:hAnsi="Arial" w:eastAsia="Arial" w:cs="Arial"/>
      <w:b/>
      <w:bCs/>
      <w:sz w:val="26"/>
      <w:szCs w:val="26"/>
    </w:rPr>
  </w:style>
  <w:style w:type="character" w:styleId="1153" w:customStyle="1">
    <w:name w:val="Heading 5 Char"/>
    <w:uiPriority w:val="9"/>
    <w:qFormat/>
    <w:rPr>
      <w:rFonts w:ascii="Arial" w:hAnsi="Arial" w:eastAsia="Arial" w:cs="Arial"/>
      <w:b/>
      <w:bCs/>
      <w:sz w:val="24"/>
      <w:szCs w:val="24"/>
    </w:rPr>
  </w:style>
  <w:style w:type="character" w:styleId="1154" w:customStyle="1">
    <w:name w:val="Heading 6 Char"/>
    <w:uiPriority w:val="9"/>
    <w:qFormat/>
    <w:rPr>
      <w:rFonts w:ascii="Arial" w:hAnsi="Arial" w:eastAsia="Arial" w:cs="Arial"/>
      <w:b/>
      <w:bCs/>
      <w:sz w:val="22"/>
      <w:szCs w:val="22"/>
    </w:rPr>
  </w:style>
  <w:style w:type="character" w:styleId="1155" w:customStyle="1">
    <w:name w:val="Heading 7 Char"/>
    <w:uiPriority w:val="9"/>
    <w:qFormat/>
    <w:rPr>
      <w:rFonts w:ascii="Arial" w:hAnsi="Arial" w:eastAsia="Arial" w:cs="Arial"/>
      <w:b/>
      <w:bCs/>
      <w:i/>
      <w:iCs/>
      <w:sz w:val="22"/>
      <w:szCs w:val="22"/>
    </w:rPr>
  </w:style>
  <w:style w:type="character" w:styleId="1156" w:customStyle="1">
    <w:name w:val="Heading 8 Char"/>
    <w:uiPriority w:val="9"/>
    <w:qFormat/>
    <w:rPr>
      <w:rFonts w:ascii="Arial" w:hAnsi="Arial" w:eastAsia="Arial" w:cs="Arial"/>
      <w:i/>
      <w:iCs/>
      <w:sz w:val="22"/>
      <w:szCs w:val="22"/>
    </w:rPr>
  </w:style>
  <w:style w:type="character" w:styleId="1157" w:customStyle="1">
    <w:name w:val="Heading 9 Char"/>
    <w:uiPriority w:val="9"/>
    <w:qFormat/>
    <w:rPr>
      <w:rFonts w:ascii="Arial" w:hAnsi="Arial" w:eastAsia="Arial" w:cs="Arial"/>
      <w:i/>
      <w:iCs/>
      <w:sz w:val="21"/>
      <w:szCs w:val="21"/>
    </w:rPr>
  </w:style>
  <w:style w:type="character" w:styleId="1158" w:customStyle="1">
    <w:name w:val="Title Char"/>
    <w:uiPriority w:val="10"/>
    <w:qFormat/>
    <w:rPr>
      <w:sz w:val="48"/>
      <w:szCs w:val="48"/>
    </w:rPr>
  </w:style>
  <w:style w:type="character" w:styleId="1159" w:customStyle="1">
    <w:name w:val="Subtitle Char"/>
    <w:uiPriority w:val="11"/>
    <w:qFormat/>
    <w:rPr>
      <w:sz w:val="24"/>
      <w:szCs w:val="24"/>
    </w:rPr>
  </w:style>
  <w:style w:type="character" w:styleId="1160" w:customStyle="1">
    <w:name w:val="Quote Char"/>
    <w:uiPriority w:val="29"/>
    <w:qFormat/>
    <w:rPr>
      <w:i/>
    </w:rPr>
  </w:style>
  <w:style w:type="character" w:styleId="1161" w:customStyle="1">
    <w:name w:val="Intense Quote Char"/>
    <w:uiPriority w:val="30"/>
    <w:qFormat/>
    <w:rPr>
      <w:i/>
    </w:rPr>
  </w:style>
  <w:style w:type="character" w:styleId="1162" w:customStyle="1">
    <w:name w:val="Header Char"/>
    <w:basedOn w:val="1056"/>
    <w:uiPriority w:val="99"/>
    <w:qFormat/>
  </w:style>
  <w:style w:type="character" w:styleId="1163" w:customStyle="1">
    <w:name w:val="Caption Char"/>
    <w:uiPriority w:val="99"/>
    <w:qFormat/>
  </w:style>
  <w:style w:type="table" w:styleId="1164" w:customStyle="1">
    <w:name w:val="无格式表格 11"/>
    <w:basedOn w:val="105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5" w:customStyle="1">
    <w:name w:val="无格式表格 21"/>
    <w:basedOn w:val="105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6" w:customStyle="1">
    <w:name w:val="无格式表格 31"/>
    <w:basedOn w:val="1057"/>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7" w:customStyle="1">
    <w:name w:val="无格式表格 41"/>
    <w:basedOn w:val="1057"/>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8" w:customStyle="1">
    <w:name w:val="无格式表格 51"/>
    <w:basedOn w:val="1057"/>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9" w:customStyle="1">
    <w:name w:val="网格表 1 浅色1"/>
    <w:basedOn w:val="105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70" w:customStyle="1">
    <w:name w:val="网格表 21"/>
    <w:basedOn w:val="105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71" w:customStyle="1">
    <w:name w:val="网格表 31"/>
    <w:basedOn w:val="105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网格表 41"/>
    <w:basedOn w:val="105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73" w:customStyle="1">
    <w:name w:val="网格表 5 深色1"/>
    <w:basedOn w:val="10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74" w:customStyle="1">
    <w:name w:val="网格表 6 彩色1"/>
    <w:basedOn w:val="105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75" w:customStyle="1">
    <w:name w:val="网格表 7 彩色1"/>
    <w:basedOn w:val="1057"/>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76" w:customStyle="1">
    <w:name w:val="清单表 1 浅色1"/>
    <w:basedOn w:val="1057"/>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77" w:customStyle="1">
    <w:name w:val="清单表 21"/>
    <w:basedOn w:val="1057"/>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78" w:customStyle="1">
    <w:name w:val="清单表 31"/>
    <w:basedOn w:val="1057"/>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9" w:customStyle="1">
    <w:name w:val="清单表 41"/>
    <w:basedOn w:val="105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80" w:customStyle="1">
    <w:name w:val="清单表 5 深色1"/>
    <w:basedOn w:val="1057"/>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81" w:customStyle="1">
    <w:name w:val="清单表 6 彩色1"/>
    <w:basedOn w:val="1057"/>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82" w:customStyle="1">
    <w:name w:val="清单表 7 彩色1"/>
    <w:basedOn w:val="1057"/>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183" w:customStyle="1">
    <w:name w:val="Footnote Text Char"/>
    <w:uiPriority w:val="99"/>
    <w:qFormat/>
    <w:rPr>
      <w:sz w:val="18"/>
    </w:rPr>
  </w:style>
  <w:style w:type="character" w:styleId="1184" w:customStyle="1">
    <w:name w:val="Endnote Text Char"/>
    <w:uiPriority w:val="99"/>
    <w:qFormat/>
    <w:rPr>
      <w:sz w:val="20"/>
    </w:rPr>
  </w:style>
  <w:style w:type="paragraph" w:styleId="1185" w:customStyle="1">
    <w:name w:val="TOC 标题1"/>
    <w:uiPriority w:val="39"/>
    <w:unhideWhenUsed/>
    <w:qFormat/>
    <w:rPr>
      <w:rFonts w:hint="default" w:ascii="Times New Roman" w:hAnsi="Times New Roman" w:eastAsia="宋体" w:cs="Times New Roman"/>
      <w:lang w:val="en-US" w:eastAsia="zh-CN" w:bidi="ar-SA"/>
    </w:rPr>
  </w:style>
  <w:style w:type="character" w:styleId="1186" w:customStyle="1">
    <w:name w:val="标题 1 Char1"/>
    <w:link w:val="1047"/>
    <w:uiPriority w:val="9"/>
    <w:qFormat/>
    <w:rPr>
      <w:rFonts w:ascii="Arial" w:hAnsi="Arial" w:eastAsia="Arial" w:cs="Arial"/>
      <w:sz w:val="40"/>
      <w:szCs w:val="40"/>
    </w:rPr>
  </w:style>
  <w:style w:type="character" w:styleId="1187" w:customStyle="1">
    <w:name w:val="标题 2 Char1"/>
    <w:link w:val="1048"/>
    <w:uiPriority w:val="9"/>
    <w:qFormat/>
    <w:rPr>
      <w:rFonts w:ascii="Arial" w:hAnsi="Arial" w:eastAsia="Arial" w:cs="Arial"/>
      <w:sz w:val="34"/>
    </w:rPr>
  </w:style>
  <w:style w:type="character" w:styleId="1188" w:customStyle="1">
    <w:name w:val="标题 3 Char"/>
    <w:link w:val="1049"/>
    <w:uiPriority w:val="9"/>
    <w:qFormat/>
    <w:rPr>
      <w:rFonts w:ascii="Arial" w:hAnsi="Arial" w:eastAsia="Arial" w:cs="Arial"/>
      <w:sz w:val="30"/>
      <w:szCs w:val="30"/>
    </w:rPr>
  </w:style>
  <w:style w:type="character" w:styleId="1189" w:customStyle="1">
    <w:name w:val="标题 4 Char"/>
    <w:link w:val="1050"/>
    <w:uiPriority w:val="9"/>
    <w:qFormat/>
    <w:rPr>
      <w:rFonts w:ascii="Arial" w:hAnsi="Arial" w:eastAsia="Arial" w:cs="Arial"/>
      <w:b/>
      <w:bCs/>
      <w:sz w:val="26"/>
      <w:szCs w:val="26"/>
    </w:rPr>
  </w:style>
  <w:style w:type="character" w:styleId="1190" w:customStyle="1">
    <w:name w:val="标题 5 Char"/>
    <w:link w:val="1051"/>
    <w:uiPriority w:val="9"/>
    <w:qFormat/>
    <w:rPr>
      <w:rFonts w:ascii="Arial" w:hAnsi="Arial" w:eastAsia="Arial" w:cs="Arial"/>
      <w:b/>
      <w:bCs/>
      <w:sz w:val="24"/>
      <w:szCs w:val="24"/>
    </w:rPr>
  </w:style>
  <w:style w:type="character" w:styleId="1191" w:customStyle="1">
    <w:name w:val="标题 6 Char"/>
    <w:link w:val="1052"/>
    <w:uiPriority w:val="9"/>
    <w:qFormat/>
    <w:rPr>
      <w:rFonts w:ascii="Arial" w:hAnsi="Arial" w:eastAsia="Arial" w:cs="Arial"/>
      <w:b/>
      <w:bCs/>
      <w:sz w:val="22"/>
      <w:szCs w:val="22"/>
    </w:rPr>
  </w:style>
  <w:style w:type="character" w:styleId="1192" w:customStyle="1">
    <w:name w:val="标题 7 Char"/>
    <w:link w:val="1053"/>
    <w:uiPriority w:val="9"/>
    <w:qFormat/>
    <w:rPr>
      <w:rFonts w:ascii="Arial" w:hAnsi="Arial" w:eastAsia="Arial" w:cs="Arial"/>
      <w:b/>
      <w:bCs/>
      <w:i/>
      <w:iCs/>
      <w:sz w:val="22"/>
      <w:szCs w:val="22"/>
    </w:rPr>
  </w:style>
  <w:style w:type="character" w:styleId="1193" w:customStyle="1">
    <w:name w:val="标题 8 Char"/>
    <w:link w:val="1054"/>
    <w:uiPriority w:val="9"/>
    <w:qFormat/>
    <w:rPr>
      <w:rFonts w:ascii="Arial" w:hAnsi="Arial" w:eastAsia="Arial" w:cs="Arial"/>
      <w:i/>
      <w:iCs/>
      <w:sz w:val="22"/>
      <w:szCs w:val="22"/>
    </w:rPr>
  </w:style>
  <w:style w:type="character" w:styleId="1194" w:customStyle="1">
    <w:name w:val="标题 9 Char"/>
    <w:link w:val="1055"/>
    <w:uiPriority w:val="9"/>
    <w:qFormat/>
    <w:rPr>
      <w:rFonts w:ascii="Arial" w:hAnsi="Arial" w:eastAsia="Arial" w:cs="Arial"/>
      <w:i/>
      <w:iCs/>
      <w:sz w:val="21"/>
      <w:szCs w:val="21"/>
    </w:rPr>
  </w:style>
  <w:style w:type="paragraph" w:styleId="1195">
    <w:name w:val="No Spacing"/>
    <w:uiPriority w:val="1"/>
    <w:qFormat/>
    <w:rPr>
      <w:rFonts w:hint="default" w:ascii="Times New Roman" w:hAnsi="Times New Roman" w:eastAsia="宋体" w:cs="Times New Roman"/>
      <w:lang w:val="en-US" w:eastAsia="zh-CN" w:bidi="ar-SA"/>
    </w:rPr>
  </w:style>
  <w:style w:type="character" w:styleId="1196" w:customStyle="1">
    <w:name w:val="标题 Char"/>
    <w:link w:val="1103"/>
    <w:uiPriority w:val="10"/>
    <w:qFormat/>
    <w:rPr>
      <w:sz w:val="48"/>
      <w:szCs w:val="48"/>
    </w:rPr>
  </w:style>
  <w:style w:type="character" w:styleId="1197" w:customStyle="1">
    <w:name w:val="副标题 Char"/>
    <w:link w:val="1096"/>
    <w:uiPriority w:val="11"/>
    <w:qFormat/>
    <w:rPr>
      <w:sz w:val="24"/>
      <w:szCs w:val="24"/>
    </w:rPr>
  </w:style>
  <w:style w:type="paragraph" w:styleId="1198">
    <w:name w:val="Quote"/>
    <w:basedOn w:val="1046"/>
    <w:next w:val="1046"/>
    <w:link w:val="1199"/>
    <w:uiPriority w:val="29"/>
    <w:qFormat/>
    <w:pPr>
      <w:ind w:left="720" w:right="720"/>
    </w:pPr>
    <w:rPr>
      <w:i/>
    </w:rPr>
  </w:style>
  <w:style w:type="character" w:styleId="1199" w:customStyle="1">
    <w:name w:val="引用 Char"/>
    <w:link w:val="1198"/>
    <w:uiPriority w:val="29"/>
    <w:qFormat/>
    <w:rPr>
      <w:i/>
    </w:rPr>
  </w:style>
  <w:style w:type="paragraph" w:styleId="1200">
    <w:name w:val="Intense Quote"/>
    <w:basedOn w:val="1046"/>
    <w:next w:val="1046"/>
    <w:link w:val="12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1" w:customStyle="1">
    <w:name w:val="明显引用 Char"/>
    <w:link w:val="1200"/>
    <w:uiPriority w:val="30"/>
    <w:qFormat/>
    <w:rPr>
      <w:i/>
    </w:rPr>
  </w:style>
  <w:style w:type="character" w:styleId="1202" w:customStyle="1">
    <w:name w:val="页眉 Char1"/>
    <w:link w:val="1093"/>
    <w:uiPriority w:val="99"/>
    <w:qFormat/>
  </w:style>
  <w:style w:type="character" w:styleId="1203" w:customStyle="1">
    <w:name w:val="Footer Char"/>
    <w:uiPriority w:val="99"/>
    <w:qFormat/>
  </w:style>
  <w:style w:type="character" w:styleId="1204" w:customStyle="1">
    <w:name w:val="页脚 Char1"/>
    <w:link w:val="1092"/>
    <w:uiPriority w:val="99"/>
    <w:qFormat/>
  </w:style>
  <w:style w:type="table" w:styleId="12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48" w:customStyle="1">
    <w:name w:val="List Table 1 Light - Accent 1"/>
    <w:uiPriority w:val="99"/>
    <w:qFormat/>
    <w:tblPr>
      <w:tblCellMar>
        <w:left w:w="0" w:type="dxa"/>
        <w:top w:w="0" w:type="dxa"/>
        <w:right w:w="0" w:type="dxa"/>
        <w:bottom w:w="0" w:type="dxa"/>
      </w:tblCellMar>
    </w:tblPr>
  </w:style>
  <w:style w:type="table" w:styleId="1249" w:customStyle="1">
    <w:name w:val="List Table 1 Light - Accent 2"/>
    <w:uiPriority w:val="99"/>
    <w:qFormat/>
    <w:tblPr>
      <w:tblCellMar>
        <w:left w:w="0" w:type="dxa"/>
        <w:top w:w="0" w:type="dxa"/>
        <w:right w:w="0" w:type="dxa"/>
        <w:bottom w:w="0" w:type="dxa"/>
      </w:tblCellMar>
    </w:tblPr>
  </w:style>
  <w:style w:type="table" w:styleId="1250" w:customStyle="1">
    <w:name w:val="List Table 1 Light - Accent 3"/>
    <w:uiPriority w:val="99"/>
    <w:qFormat/>
    <w:tblPr>
      <w:tblCellMar>
        <w:left w:w="0" w:type="dxa"/>
        <w:top w:w="0" w:type="dxa"/>
        <w:right w:w="0" w:type="dxa"/>
        <w:bottom w:w="0" w:type="dxa"/>
      </w:tblCellMar>
    </w:tblPr>
  </w:style>
  <w:style w:type="table" w:styleId="1251" w:customStyle="1">
    <w:name w:val="List Table 1 Light - Accent 4"/>
    <w:uiPriority w:val="99"/>
    <w:qFormat/>
    <w:tblPr>
      <w:tblCellMar>
        <w:left w:w="0" w:type="dxa"/>
        <w:top w:w="0" w:type="dxa"/>
        <w:right w:w="0" w:type="dxa"/>
        <w:bottom w:w="0" w:type="dxa"/>
      </w:tblCellMar>
    </w:tblPr>
  </w:style>
  <w:style w:type="table" w:styleId="1252" w:customStyle="1">
    <w:name w:val="List Table 1 Light - Accent 5"/>
    <w:uiPriority w:val="99"/>
    <w:qFormat/>
    <w:tblPr>
      <w:tblCellMar>
        <w:left w:w="0" w:type="dxa"/>
        <w:top w:w="0" w:type="dxa"/>
        <w:right w:w="0" w:type="dxa"/>
        <w:bottom w:w="0" w:type="dxa"/>
      </w:tblCellMar>
    </w:tblPr>
  </w:style>
  <w:style w:type="table" w:styleId="1253" w:customStyle="1">
    <w:name w:val="List Table 1 Light - Accent 6"/>
    <w:uiPriority w:val="99"/>
    <w:qFormat/>
    <w:tblPr>
      <w:tblCellMar>
        <w:left w:w="0" w:type="dxa"/>
        <w:top w:w="0" w:type="dxa"/>
        <w:right w:w="0" w:type="dxa"/>
        <w:bottom w:w="0" w:type="dxa"/>
      </w:tblCellMar>
    </w:tblPr>
  </w:style>
  <w:style w:type="table" w:styleId="12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5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7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7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7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7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7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7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7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7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8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8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8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8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8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8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8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8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90" w:customStyle="1">
    <w:name w:val="Lined - Accent"/>
    <w:uiPriority w:val="99"/>
    <w:qFormat/>
    <w:rPr>
      <w:color w:val="404040"/>
    </w:rPr>
    <w:tblPr>
      <w:tblCellMar>
        <w:left w:w="0" w:type="dxa"/>
        <w:top w:w="0" w:type="dxa"/>
        <w:right w:w="0" w:type="dxa"/>
        <w:bottom w:w="0" w:type="dxa"/>
      </w:tblCellMar>
    </w:tblPr>
  </w:style>
  <w:style w:type="table" w:styleId="1291" w:customStyle="1">
    <w:name w:val="Lined - Accent 1"/>
    <w:uiPriority w:val="99"/>
    <w:qFormat/>
    <w:rPr>
      <w:color w:val="404040"/>
    </w:rPr>
    <w:tblPr>
      <w:tblCellMar>
        <w:left w:w="0" w:type="dxa"/>
        <w:top w:w="0" w:type="dxa"/>
        <w:right w:w="0" w:type="dxa"/>
        <w:bottom w:w="0" w:type="dxa"/>
      </w:tblCellMar>
    </w:tblPr>
  </w:style>
  <w:style w:type="table" w:styleId="1292" w:customStyle="1">
    <w:name w:val="Lined - Accent 2"/>
    <w:uiPriority w:val="99"/>
    <w:qFormat/>
    <w:rPr>
      <w:color w:val="404040"/>
    </w:rPr>
    <w:tblPr>
      <w:tblCellMar>
        <w:left w:w="0" w:type="dxa"/>
        <w:top w:w="0" w:type="dxa"/>
        <w:right w:w="0" w:type="dxa"/>
        <w:bottom w:w="0" w:type="dxa"/>
      </w:tblCellMar>
    </w:tblPr>
  </w:style>
  <w:style w:type="table" w:styleId="1293" w:customStyle="1">
    <w:name w:val="Lined - Accent 3"/>
    <w:uiPriority w:val="99"/>
    <w:qFormat/>
    <w:rPr>
      <w:color w:val="404040"/>
    </w:rPr>
    <w:tblPr>
      <w:tblCellMar>
        <w:left w:w="0" w:type="dxa"/>
        <w:top w:w="0" w:type="dxa"/>
        <w:right w:w="0" w:type="dxa"/>
        <w:bottom w:w="0" w:type="dxa"/>
      </w:tblCellMar>
    </w:tblPr>
  </w:style>
  <w:style w:type="table" w:styleId="1294" w:customStyle="1">
    <w:name w:val="Lined - Accent 4"/>
    <w:uiPriority w:val="99"/>
    <w:qFormat/>
    <w:rPr>
      <w:color w:val="404040"/>
    </w:rPr>
    <w:tblPr>
      <w:tblCellMar>
        <w:left w:w="0" w:type="dxa"/>
        <w:top w:w="0" w:type="dxa"/>
        <w:right w:w="0" w:type="dxa"/>
        <w:bottom w:w="0" w:type="dxa"/>
      </w:tblCellMar>
    </w:tblPr>
  </w:style>
  <w:style w:type="table" w:styleId="1295" w:customStyle="1">
    <w:name w:val="Lined - Accent 5"/>
    <w:uiPriority w:val="99"/>
    <w:qFormat/>
    <w:rPr>
      <w:color w:val="404040"/>
    </w:rPr>
    <w:tblPr>
      <w:tblCellMar>
        <w:left w:w="0" w:type="dxa"/>
        <w:top w:w="0" w:type="dxa"/>
        <w:right w:w="0" w:type="dxa"/>
        <w:bottom w:w="0" w:type="dxa"/>
      </w:tblCellMar>
    </w:tblPr>
  </w:style>
  <w:style w:type="table" w:styleId="1296" w:customStyle="1">
    <w:name w:val="Lined - Accent 6"/>
    <w:uiPriority w:val="99"/>
    <w:qFormat/>
    <w:rPr>
      <w:color w:val="404040"/>
    </w:rPr>
    <w:tblPr>
      <w:tblCellMar>
        <w:left w:w="0" w:type="dxa"/>
        <w:top w:w="0" w:type="dxa"/>
        <w:right w:w="0" w:type="dxa"/>
        <w:bottom w:w="0" w:type="dxa"/>
      </w:tblCellMar>
    </w:tblPr>
  </w:style>
  <w:style w:type="table" w:styleId="129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9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9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0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0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0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0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0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0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0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0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0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11" w:customStyle="1">
    <w:name w:val="脚注文本 Char"/>
    <w:link w:val="1097"/>
    <w:uiPriority w:val="99"/>
    <w:qFormat/>
    <w:rPr>
      <w:sz w:val="18"/>
    </w:rPr>
  </w:style>
  <w:style w:type="character" w:styleId="1312" w:customStyle="1">
    <w:name w:val="尾注文本 Char"/>
    <w:link w:val="1090"/>
    <w:uiPriority w:val="99"/>
    <w:qFormat/>
    <w:rPr>
      <w:sz w:val="20"/>
    </w:rPr>
  </w:style>
  <w:style w:type="paragraph" w:styleId="1313" w:customStyle="1">
    <w:name w:val="TOC 标题11"/>
    <w:uiPriority w:val="39"/>
    <w:unhideWhenUsed/>
    <w:qFormat/>
    <w:rPr>
      <w:rFonts w:hint="default" w:ascii="Times New Roman" w:hAnsi="Times New Roman" w:eastAsia="宋体" w:cs="Times New Roman"/>
      <w:lang w:val="en-US" w:eastAsia="zh-CN" w:bidi="ar-SA"/>
    </w:rPr>
  </w:style>
  <w:style w:type="paragraph" w:styleId="1314" w:customStyle="1">
    <w:name w:val="标题 11"/>
    <w:basedOn w:val="1075"/>
    <w:next w:val="1075"/>
    <w:link w:val="1319"/>
    <w:uiPriority w:val="0"/>
    <w:qFormat/>
    <w:pPr>
      <w:keepLines/>
      <w:keepNext/>
      <w:spacing w:before="340" w:after="330" w:line="578" w:lineRule="auto"/>
      <w:outlineLvl w:val="0"/>
    </w:pPr>
    <w:rPr>
      <w:b/>
      <w:bCs/>
      <w:sz w:val="44"/>
      <w:szCs w:val="44"/>
    </w:rPr>
  </w:style>
  <w:style w:type="paragraph" w:styleId="1315" w:customStyle="1">
    <w:name w:val="标题 211"/>
    <w:basedOn w:val="1075"/>
    <w:next w:val="1075"/>
    <w:link w:val="1320"/>
    <w:uiPriority w:val="0"/>
    <w:qFormat/>
    <w:pPr>
      <w:keepLines/>
      <w:keepNext/>
      <w:spacing w:before="260" w:after="260" w:line="416" w:lineRule="auto"/>
      <w:outlineLvl w:val="1"/>
    </w:pPr>
    <w:rPr>
      <w:rFonts w:ascii="Calibri Light" w:hAnsi="Calibri Light"/>
      <w:b/>
      <w:bCs/>
      <w:sz w:val="32"/>
      <w:szCs w:val="32"/>
    </w:rPr>
  </w:style>
  <w:style w:type="paragraph" w:styleId="1316" w:customStyle="1">
    <w:name w:val="标题 31"/>
    <w:basedOn w:val="1075"/>
    <w:next w:val="1075"/>
    <w:uiPriority w:val="0"/>
    <w:qFormat/>
    <w:pPr>
      <w:keepLines/>
      <w:keepNext/>
      <w:spacing w:line="360" w:lineRule="auto"/>
      <w:outlineLvl w:val="2"/>
    </w:pPr>
    <w:rPr>
      <w:rFonts w:eastAsia="黑体"/>
      <w:b/>
      <w:bCs/>
      <w:sz w:val="21"/>
      <w:szCs w:val="32"/>
    </w:rPr>
  </w:style>
  <w:style w:type="character" w:styleId="1317" w:customStyle="1">
    <w:name w:val="默认段落字体1"/>
    <w:link w:val="1046"/>
    <w:uiPriority w:val="0"/>
    <w:qFormat/>
  </w:style>
  <w:style w:type="table" w:styleId="1318" w:customStyle="1">
    <w:name w:val="普通表格1"/>
    <w:uiPriority w:val="0"/>
    <w:qFormat/>
    <w:tblPr>
      <w:tblCellMar>
        <w:left w:w="0" w:type="dxa"/>
        <w:top w:w="0" w:type="dxa"/>
        <w:right w:w="0" w:type="dxa"/>
        <w:bottom w:w="0" w:type="dxa"/>
      </w:tblCellMar>
    </w:tblPr>
  </w:style>
  <w:style w:type="character" w:styleId="1319" w:customStyle="1">
    <w:name w:val="标题 1 Char"/>
    <w:link w:val="1314"/>
    <w:uiPriority w:val="0"/>
    <w:qFormat/>
    <w:rPr>
      <w:b/>
      <w:bCs/>
      <w:sz w:val="44"/>
      <w:szCs w:val="44"/>
    </w:rPr>
  </w:style>
  <w:style w:type="character" w:styleId="1320" w:customStyle="1">
    <w:name w:val="标题 2 Char"/>
    <w:link w:val="1315"/>
    <w:uiPriority w:val="0"/>
    <w:qFormat/>
    <w:rPr>
      <w:rFonts w:ascii="Calibri Light" w:hAnsi="Calibri Light" w:eastAsia="宋体"/>
      <w:b/>
      <w:bCs/>
      <w:sz w:val="32"/>
      <w:szCs w:val="32"/>
    </w:rPr>
  </w:style>
  <w:style w:type="paragraph" w:styleId="1321" w:customStyle="1">
    <w:name w:val="正文缩进1"/>
    <w:basedOn w:val="1075"/>
    <w:uiPriority w:val="0"/>
    <w:qFormat/>
    <w:pPr>
      <w:ind w:firstLine="420"/>
    </w:pPr>
    <w:rPr>
      <w:sz w:val="21"/>
      <w:szCs w:val="21"/>
    </w:rPr>
  </w:style>
  <w:style w:type="paragraph" w:styleId="1322" w:customStyle="1">
    <w:name w:val="批注文字1"/>
    <w:basedOn w:val="1075"/>
    <w:link w:val="1323"/>
    <w:uiPriority w:val="0"/>
    <w:semiHidden/>
    <w:qFormat/>
    <w:pPr>
      <w:jc w:val="left"/>
    </w:pPr>
    <w:rPr>
      <w:sz w:val="21"/>
    </w:rPr>
  </w:style>
  <w:style w:type="character" w:styleId="1323" w:customStyle="1">
    <w:name w:val="批注文字 Char"/>
    <w:link w:val="1322"/>
    <w:uiPriority w:val="0"/>
    <w:semiHidden/>
    <w:qFormat/>
    <w:rPr>
      <w:sz w:val="21"/>
    </w:rPr>
  </w:style>
  <w:style w:type="character" w:styleId="1324" w:customStyle="1">
    <w:name w:val="正文文本 Char"/>
    <w:link w:val="1069"/>
    <w:uiPriority w:val="0"/>
    <w:qFormat/>
  </w:style>
  <w:style w:type="paragraph" w:styleId="1325" w:customStyle="1">
    <w:name w:val="日期1"/>
    <w:basedOn w:val="1075"/>
    <w:next w:val="1075"/>
    <w:link w:val="1326"/>
    <w:uiPriority w:val="0"/>
    <w:qFormat/>
    <w:pPr>
      <w:ind w:left="100"/>
    </w:pPr>
  </w:style>
  <w:style w:type="character" w:styleId="1326" w:customStyle="1">
    <w:name w:val="日期 Char"/>
    <w:link w:val="1325"/>
    <w:uiPriority w:val="0"/>
    <w:semiHidden/>
    <w:qFormat/>
    <w:rPr>
      <w:sz w:val="20"/>
    </w:rPr>
  </w:style>
  <w:style w:type="paragraph" w:styleId="1327" w:customStyle="1">
    <w:name w:val="批注框文本1"/>
    <w:basedOn w:val="1075"/>
    <w:link w:val="1328"/>
    <w:uiPriority w:val="0"/>
    <w:qFormat/>
    <w:rPr>
      <w:sz w:val="18"/>
      <w:szCs w:val="18"/>
    </w:rPr>
  </w:style>
  <w:style w:type="character" w:styleId="1328" w:customStyle="1">
    <w:name w:val="批注框文本 Char"/>
    <w:link w:val="1327"/>
    <w:uiPriority w:val="0"/>
    <w:semiHidden/>
    <w:qFormat/>
    <w:rPr>
      <w:sz w:val="18"/>
      <w:szCs w:val="18"/>
    </w:rPr>
  </w:style>
  <w:style w:type="paragraph" w:styleId="1329" w:customStyle="1">
    <w:name w:val="页脚1"/>
    <w:basedOn w:val="1075"/>
    <w:link w:val="1330"/>
    <w:uiPriority w:val="0"/>
    <w:qFormat/>
    <w:pPr>
      <w:jc w:val="left"/>
      <w:tabs>
        <w:tab w:val="right" w:pos="4153" w:leader="none"/>
        <w:tab w:val="left" w:pos="8306" w:leader="underscore"/>
      </w:tabs>
    </w:pPr>
    <w:rPr>
      <w:sz w:val="18"/>
    </w:rPr>
  </w:style>
  <w:style w:type="character" w:styleId="1330" w:customStyle="1">
    <w:name w:val="页脚 Char"/>
    <w:link w:val="1329"/>
    <w:uiPriority w:val="0"/>
    <w:qFormat/>
    <w:rPr>
      <w:sz w:val="18"/>
    </w:rPr>
  </w:style>
  <w:style w:type="paragraph" w:styleId="1331" w:customStyle="1">
    <w:name w:val="页眉1"/>
    <w:basedOn w:val="1075"/>
    <w:link w:val="1332"/>
    <w:uiPriority w:val="0"/>
    <w:qFormat/>
    <w:pPr>
      <w:jc w:val="center"/>
      <w:tabs>
        <w:tab w:val="right" w:pos="4153" w:leader="none"/>
        <w:tab w:val="left" w:pos="8306" w:leader="underscore"/>
      </w:tabs>
      <w:pBdr>
        <w:bottom w:val="single" w:color="000000" w:sz="6" w:space="1"/>
      </w:pBdr>
    </w:pPr>
    <w:rPr>
      <w:sz w:val="18"/>
      <w:szCs w:val="18"/>
    </w:rPr>
  </w:style>
  <w:style w:type="character" w:styleId="1332" w:customStyle="1">
    <w:name w:val="页眉 Char"/>
    <w:link w:val="1331"/>
    <w:uiPriority w:val="0"/>
    <w:qFormat/>
    <w:rPr>
      <w:sz w:val="18"/>
      <w:szCs w:val="18"/>
    </w:rPr>
  </w:style>
  <w:style w:type="paragraph" w:styleId="1333" w:customStyle="1">
    <w:name w:val="副标题1"/>
    <w:basedOn w:val="1075"/>
    <w:next w:val="1075"/>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34" w:customStyle="1">
    <w:name w:val="目录 21"/>
    <w:basedOn w:val="1075"/>
    <w:next w:val="1075"/>
    <w:uiPriority w:val="0"/>
    <w:qFormat/>
    <w:pPr>
      <w:ind w:left="420"/>
    </w:pPr>
  </w:style>
  <w:style w:type="paragraph" w:styleId="1335" w:customStyle="1">
    <w:name w:val="普通(网站)1"/>
    <w:basedOn w:val="1075"/>
    <w:uiPriority w:val="0"/>
    <w:qFormat/>
    <w:pPr>
      <w:jc w:val="left"/>
      <w:spacing w:before="100" w:beforeAutospacing="1" w:after="100" w:afterAutospacing="1"/>
    </w:pPr>
    <w:rPr>
      <w:rFonts w:ascii="宋体" w:hAnsi="宋体"/>
      <w:sz w:val="24"/>
      <w:szCs w:val="24"/>
    </w:rPr>
  </w:style>
  <w:style w:type="paragraph" w:styleId="1336" w:customStyle="1">
    <w:name w:val="批注主题1"/>
    <w:basedOn w:val="1322"/>
    <w:next w:val="1322"/>
    <w:link w:val="1337"/>
    <w:uiPriority w:val="0"/>
    <w:qFormat/>
    <w:rPr>
      <w:b/>
      <w:bCs/>
    </w:rPr>
  </w:style>
  <w:style w:type="character" w:styleId="1337" w:customStyle="1">
    <w:name w:val="批注主题 Char"/>
    <w:link w:val="1336"/>
    <w:uiPriority w:val="0"/>
    <w:semiHidden/>
    <w:qFormat/>
    <w:rPr>
      <w:b/>
      <w:bCs/>
      <w:sz w:val="21"/>
    </w:rPr>
  </w:style>
  <w:style w:type="character" w:styleId="1338" w:customStyle="1">
    <w:name w:val="正文首行缩进 Char"/>
    <w:link w:val="1068"/>
    <w:uiPriority w:val="0"/>
    <w:qFormat/>
    <w:rPr>
      <w:sz w:val="21"/>
    </w:rPr>
  </w:style>
  <w:style w:type="table" w:styleId="1339" w:customStyle="1">
    <w:name w:val="网格型1"/>
    <w:basedOn w:val="1318"/>
    <w:uiPriority w:val="0"/>
    <w:qFormat/>
    <w:pPr>
      <w:jc w:val="both"/>
      <w:widowControl w:val="off"/>
    </w:pPr>
    <w:tblPr>
      <w:tblCellMar>
        <w:left w:w="0" w:type="dxa"/>
        <w:top w:w="0" w:type="dxa"/>
        <w:right w:w="0" w:type="dxa"/>
        <w:bottom w:w="0" w:type="dxa"/>
      </w:tblCellMar>
    </w:tblPr>
  </w:style>
  <w:style w:type="character" w:styleId="1340" w:customStyle="1">
    <w:name w:val="要点1"/>
    <w:uiPriority w:val="0"/>
    <w:qFormat/>
    <w:rPr>
      <w:b/>
      <w:sz w:val="21"/>
    </w:rPr>
  </w:style>
  <w:style w:type="character" w:styleId="1341" w:customStyle="1">
    <w:name w:val="页码1"/>
    <w:basedOn w:val="1317"/>
    <w:link w:val="1046"/>
    <w:uiPriority w:val="0"/>
    <w:qFormat/>
    <w:rPr>
      <w:rFonts w:hint="default" w:ascii="Calibri" w:hAnsi="Calibri" w:eastAsia="宋体" w:cs="Times New Roman"/>
      <w:sz w:val="21"/>
      <w:szCs w:val="21"/>
      <w:lang w:val="en-US" w:eastAsia="zh-CN" w:bidi="ar-SA"/>
    </w:rPr>
  </w:style>
  <w:style w:type="character" w:styleId="1342" w:customStyle="1">
    <w:name w:val="强调1"/>
    <w:uiPriority w:val="0"/>
    <w:qFormat/>
    <w:rPr>
      <w:i/>
      <w:sz w:val="20"/>
    </w:rPr>
  </w:style>
  <w:style w:type="character" w:styleId="1343" w:customStyle="1">
    <w:name w:val="超链接1"/>
    <w:uiPriority w:val="0"/>
    <w:qFormat/>
    <w:rPr>
      <w:color w:val="0000ff"/>
      <w:sz w:val="20"/>
      <w:u w:val="single"/>
    </w:rPr>
  </w:style>
  <w:style w:type="character" w:styleId="1344" w:customStyle="1">
    <w:name w:val="批注引用1"/>
    <w:uiPriority w:val="0"/>
    <w:qFormat/>
    <w:rPr>
      <w:sz w:val="21"/>
      <w:szCs w:val="21"/>
    </w:rPr>
  </w:style>
  <w:style w:type="character" w:styleId="1345" w:customStyle="1">
    <w:name w:val="NormalCharacter"/>
    <w:link w:val="1074"/>
    <w:uiPriority w:val="0"/>
    <w:semiHidden/>
    <w:qFormat/>
    <w:rPr>
      <w:rFonts w:ascii="宋体"/>
      <w:sz w:val="24"/>
    </w:rPr>
  </w:style>
  <w:style w:type="character" w:styleId="1346" w:customStyle="1">
    <w:name w:val="UserStyle_19"/>
    <w:uiPriority w:val="0"/>
    <w:qFormat/>
    <w:rPr>
      <w:b/>
      <w:sz w:val="20"/>
    </w:rPr>
  </w:style>
  <w:style w:type="character" w:styleId="1347" w:customStyle="1">
    <w:name w:val="263"/>
    <w:uiPriority w:val="0"/>
    <w:qFormat/>
    <w:rPr>
      <w:b/>
      <w:color w:val="c0504d"/>
      <w:sz w:val="20"/>
      <w:u w:val="single"/>
    </w:rPr>
  </w:style>
  <w:style w:type="character" w:styleId="1348" w:customStyle="1">
    <w:name w:val="UserStyle_47"/>
    <w:uiPriority w:val="0"/>
    <w:qFormat/>
    <w:rPr>
      <w:sz w:val="20"/>
    </w:rPr>
  </w:style>
  <w:style w:type="character" w:styleId="1349" w:customStyle="1">
    <w:name w:val="UserStyle_43"/>
    <w:uiPriority w:val="0"/>
    <w:qFormat/>
    <w:rPr>
      <w:sz w:val="20"/>
    </w:rPr>
  </w:style>
  <w:style w:type="character" w:styleId="1350" w:customStyle="1">
    <w:name w:val="UserStyle_37"/>
    <w:uiPriority w:val="0"/>
    <w:qFormat/>
    <w:rPr>
      <w:b/>
      <w:sz w:val="20"/>
    </w:rPr>
  </w:style>
  <w:style w:type="character" w:styleId="1351" w:customStyle="1">
    <w:name w:val="UserStyle_70"/>
    <w:uiPriority w:val="0"/>
    <w:qFormat/>
    <w:rPr>
      <w:sz w:val="20"/>
    </w:rPr>
  </w:style>
  <w:style w:type="character" w:styleId="1352" w:customStyle="1">
    <w:name w:val="UserStyle_55"/>
    <w:uiPriority w:val="0"/>
    <w:qFormat/>
    <w:rPr>
      <w:sz w:val="20"/>
    </w:rPr>
  </w:style>
  <w:style w:type="character" w:styleId="1353" w:customStyle="1">
    <w:name w:val="UserStyle_0"/>
    <w:link w:val="1354"/>
    <w:uiPriority w:val="0"/>
    <w:semiHidden/>
    <w:qFormat/>
    <w:rPr>
      <w:rFonts w:ascii="Courier New" w:hAnsi="Courier New"/>
      <w:sz w:val="20"/>
    </w:rPr>
  </w:style>
  <w:style w:type="paragraph" w:styleId="1354" w:customStyle="1">
    <w:name w:val="HtmlPre"/>
    <w:basedOn w:val="1075"/>
    <w:link w:val="1353"/>
    <w:uiPriority w:val="0"/>
    <w:qFormat/>
    <w:rPr>
      <w:rFonts w:ascii="Courier New" w:hAnsi="Courier New"/>
    </w:rPr>
  </w:style>
  <w:style w:type="character" w:styleId="1355" w:customStyle="1">
    <w:name w:val="UserStyle_18"/>
    <w:uiPriority w:val="0"/>
    <w:semiHidden/>
    <w:qFormat/>
    <w:rPr>
      <w:sz w:val="20"/>
    </w:rPr>
  </w:style>
  <w:style w:type="character" w:styleId="1356" w:customStyle="1">
    <w:name w:val="UserStyle_56"/>
    <w:uiPriority w:val="0"/>
    <w:qFormat/>
    <w:rPr>
      <w:sz w:val="20"/>
    </w:rPr>
  </w:style>
  <w:style w:type="character" w:styleId="1357" w:customStyle="1">
    <w:name w:val="262"/>
    <w:uiPriority w:val="0"/>
    <w:qFormat/>
    <w:rPr>
      <w:color w:val="c0504d"/>
      <w:sz w:val="20"/>
      <w:u w:val="single"/>
    </w:rPr>
  </w:style>
  <w:style w:type="character" w:styleId="1358" w:customStyle="1">
    <w:name w:val="UserStyle_46"/>
    <w:uiPriority w:val="0"/>
    <w:qFormat/>
    <w:rPr>
      <w:sz w:val="20"/>
    </w:rPr>
  </w:style>
  <w:style w:type="character" w:styleId="1359" w:customStyle="1">
    <w:name w:val="UserStyle_74"/>
    <w:uiPriority w:val="0"/>
    <w:qFormat/>
    <w:rPr>
      <w:b/>
      <w:sz w:val="20"/>
    </w:rPr>
  </w:style>
  <w:style w:type="character" w:styleId="1360" w:customStyle="1">
    <w:name w:val="UserStyle_71"/>
    <w:uiPriority w:val="0"/>
    <w:qFormat/>
    <w:rPr>
      <w:sz w:val="20"/>
    </w:rPr>
  </w:style>
  <w:style w:type="character" w:styleId="1361" w:customStyle="1">
    <w:name w:val="UserStyle_72"/>
    <w:uiPriority w:val="0"/>
    <w:qFormat/>
    <w:rPr>
      <w:sz w:val="20"/>
    </w:rPr>
  </w:style>
  <w:style w:type="character" w:styleId="1362" w:customStyle="1">
    <w:name w:val="UserStyle_7"/>
    <w:uiPriority w:val="0"/>
    <w:qFormat/>
    <w:rPr>
      <w:i/>
      <w:sz w:val="20"/>
    </w:rPr>
  </w:style>
  <w:style w:type="character" w:styleId="1363" w:customStyle="1">
    <w:name w:val="UserStyle_68"/>
    <w:uiPriority w:val="0"/>
    <w:qFormat/>
    <w:rPr>
      <w:sz w:val="20"/>
    </w:rPr>
  </w:style>
  <w:style w:type="character" w:styleId="1364" w:customStyle="1">
    <w:name w:val="UserStyle_25"/>
    <w:uiPriority w:val="0"/>
    <w:qFormat/>
    <w:rPr>
      <w:sz w:val="20"/>
    </w:rPr>
  </w:style>
  <w:style w:type="character" w:styleId="1365" w:customStyle="1">
    <w:name w:val="UserStyle_66"/>
    <w:uiPriority w:val="0"/>
    <w:qFormat/>
    <w:rPr>
      <w:sz w:val="20"/>
    </w:rPr>
  </w:style>
  <w:style w:type="character" w:styleId="1366" w:customStyle="1">
    <w:name w:val="UserStyle_38"/>
    <w:uiPriority w:val="0"/>
    <w:qFormat/>
    <w:rPr>
      <w:sz w:val="20"/>
    </w:rPr>
  </w:style>
  <w:style w:type="character" w:styleId="1367" w:customStyle="1">
    <w:name w:val="UserStyle_17"/>
    <w:uiPriority w:val="0"/>
    <w:qFormat/>
    <w:rPr>
      <w:sz w:val="20"/>
    </w:rPr>
  </w:style>
  <w:style w:type="character" w:styleId="1368" w:customStyle="1">
    <w:name w:val="UserStyle_33"/>
    <w:uiPriority w:val="0"/>
    <w:qFormat/>
    <w:rPr>
      <w:sz w:val="20"/>
    </w:rPr>
  </w:style>
  <w:style w:type="character" w:styleId="1369" w:customStyle="1">
    <w:name w:val="UserStyle_45"/>
    <w:uiPriority w:val="0"/>
    <w:qFormat/>
    <w:rPr>
      <w:b/>
      <w:sz w:val="20"/>
    </w:rPr>
  </w:style>
  <w:style w:type="character" w:styleId="1370" w:customStyle="1">
    <w:name w:val="UserStyle_57"/>
    <w:uiPriority w:val="0"/>
    <w:qFormat/>
    <w:rPr>
      <w:sz w:val="20"/>
    </w:rPr>
  </w:style>
  <w:style w:type="character" w:styleId="1371" w:customStyle="1">
    <w:name w:val="UserStyle_63"/>
    <w:uiPriority w:val="0"/>
    <w:qFormat/>
    <w:rPr>
      <w:sz w:val="20"/>
    </w:rPr>
  </w:style>
  <w:style w:type="character" w:styleId="1372" w:customStyle="1">
    <w:name w:val="UserStyle_75"/>
    <w:uiPriority w:val="0"/>
    <w:qFormat/>
    <w:rPr>
      <w:sz w:val="20"/>
    </w:rPr>
  </w:style>
  <w:style w:type="character" w:styleId="1373" w:customStyle="1">
    <w:name w:val="UserStyle_23"/>
    <w:uiPriority w:val="0"/>
    <w:qFormat/>
    <w:rPr>
      <w:color w:val="000000"/>
      <w:sz w:val="20"/>
    </w:rPr>
  </w:style>
  <w:style w:type="character" w:styleId="1374" w:customStyle="1">
    <w:name w:val="UserStyle_65"/>
    <w:uiPriority w:val="0"/>
    <w:qFormat/>
    <w:rPr>
      <w:sz w:val="20"/>
    </w:rPr>
  </w:style>
  <w:style w:type="character" w:styleId="1375" w:customStyle="1">
    <w:name w:val="UserStyle_24"/>
    <w:uiPriority w:val="0"/>
    <w:qFormat/>
    <w:rPr>
      <w:sz w:val="20"/>
    </w:rPr>
  </w:style>
  <w:style w:type="character" w:styleId="1376" w:customStyle="1">
    <w:name w:val="UserStyle_50"/>
    <w:uiPriority w:val="0"/>
    <w:qFormat/>
    <w:rPr>
      <w:sz w:val="20"/>
    </w:rPr>
  </w:style>
  <w:style w:type="character" w:styleId="1377" w:customStyle="1">
    <w:name w:val="UserStyle_44"/>
    <w:uiPriority w:val="0"/>
    <w:qFormat/>
    <w:rPr>
      <w:b/>
      <w:sz w:val="20"/>
    </w:rPr>
  </w:style>
  <w:style w:type="character" w:styleId="1378" w:customStyle="1">
    <w:name w:val="UserStyle_51"/>
    <w:uiPriority w:val="0"/>
    <w:qFormat/>
    <w:rPr>
      <w:sz w:val="20"/>
    </w:rPr>
  </w:style>
  <w:style w:type="character" w:styleId="1379" w:customStyle="1">
    <w:name w:val="UserStyle_4"/>
    <w:uiPriority w:val="0"/>
    <w:qFormat/>
    <w:rPr>
      <w:sz w:val="20"/>
    </w:rPr>
  </w:style>
  <w:style w:type="character" w:styleId="1380" w:customStyle="1">
    <w:name w:val="UserStyle_52"/>
    <w:uiPriority w:val="0"/>
    <w:semiHidden/>
    <w:qFormat/>
    <w:rPr>
      <w:sz w:val="20"/>
    </w:rPr>
  </w:style>
  <w:style w:type="character" w:styleId="1381" w:customStyle="1">
    <w:name w:val="UserStyle_3"/>
    <w:uiPriority w:val="0"/>
    <w:qFormat/>
    <w:rPr>
      <w:sz w:val="20"/>
    </w:rPr>
  </w:style>
  <w:style w:type="character" w:styleId="1382" w:customStyle="1">
    <w:name w:val="UserStyle_67"/>
    <w:uiPriority w:val="0"/>
    <w:qFormat/>
    <w:rPr>
      <w:b/>
      <w:sz w:val="20"/>
    </w:rPr>
  </w:style>
  <w:style w:type="character" w:styleId="1383" w:customStyle="1">
    <w:name w:val="UserStyle_61"/>
    <w:uiPriority w:val="0"/>
    <w:qFormat/>
    <w:rPr>
      <w:b/>
      <w:sz w:val="20"/>
    </w:rPr>
  </w:style>
  <w:style w:type="character" w:styleId="1384" w:customStyle="1">
    <w:name w:val="UserStyle_36"/>
    <w:uiPriority w:val="0"/>
    <w:qFormat/>
    <w:rPr>
      <w:b/>
      <w:sz w:val="20"/>
    </w:rPr>
  </w:style>
  <w:style w:type="character" w:styleId="1385" w:customStyle="1">
    <w:name w:val="260"/>
    <w:uiPriority w:val="0"/>
    <w:qFormat/>
    <w:rPr>
      <w:i/>
      <w:color w:val="000000"/>
      <w:sz w:val="21"/>
    </w:rPr>
  </w:style>
  <w:style w:type="character" w:styleId="1386" w:customStyle="1">
    <w:name w:val="PageNumber"/>
    <w:uiPriority w:val="0"/>
    <w:qFormat/>
    <w:rPr>
      <w:sz w:val="20"/>
    </w:rPr>
  </w:style>
  <w:style w:type="character" w:styleId="1387" w:customStyle="1">
    <w:name w:val="UserStyle_1"/>
    <w:uiPriority w:val="0"/>
    <w:qFormat/>
    <w:rPr>
      <w:sz w:val="20"/>
    </w:rPr>
  </w:style>
  <w:style w:type="character" w:styleId="1388" w:customStyle="1">
    <w:name w:val="UserStyle_64"/>
    <w:uiPriority w:val="0"/>
    <w:qFormat/>
    <w:rPr>
      <w:sz w:val="20"/>
    </w:rPr>
  </w:style>
  <w:style w:type="character" w:styleId="1389" w:customStyle="1">
    <w:name w:val="UserStyle_21"/>
    <w:uiPriority w:val="0"/>
    <w:qFormat/>
    <w:rPr>
      <w:sz w:val="20"/>
    </w:rPr>
  </w:style>
  <w:style w:type="character" w:styleId="1390" w:customStyle="1">
    <w:name w:val="UserStyle_9"/>
    <w:uiPriority w:val="0"/>
    <w:qFormat/>
    <w:rPr>
      <w:sz w:val="20"/>
    </w:rPr>
  </w:style>
  <w:style w:type="character" w:styleId="1391" w:customStyle="1">
    <w:name w:val="UserStyle_40"/>
    <w:uiPriority w:val="0"/>
    <w:qFormat/>
    <w:rPr>
      <w:b/>
      <w:sz w:val="20"/>
    </w:rPr>
  </w:style>
  <w:style w:type="character" w:styleId="1392" w:customStyle="1">
    <w:name w:val="UserStyle_73"/>
    <w:uiPriority w:val="0"/>
    <w:qFormat/>
    <w:rPr>
      <w:sz w:val="20"/>
    </w:rPr>
  </w:style>
  <w:style w:type="character" w:styleId="1393" w:customStyle="1">
    <w:name w:val="UserStyle_30"/>
    <w:uiPriority w:val="0"/>
    <w:qFormat/>
    <w:rPr>
      <w:sz w:val="20"/>
    </w:rPr>
  </w:style>
  <w:style w:type="character" w:styleId="1394" w:customStyle="1">
    <w:name w:val="UserStyle_69"/>
    <w:uiPriority w:val="0"/>
    <w:qFormat/>
    <w:rPr>
      <w:b/>
      <w:sz w:val="20"/>
    </w:rPr>
  </w:style>
  <w:style w:type="character" w:styleId="1395" w:customStyle="1">
    <w:name w:val="UserStyle_13"/>
    <w:uiPriority w:val="0"/>
    <w:qFormat/>
    <w:rPr>
      <w:b/>
      <w:sz w:val="20"/>
    </w:rPr>
  </w:style>
  <w:style w:type="character" w:styleId="1396" w:customStyle="1">
    <w:name w:val="UserStyle_14"/>
    <w:uiPriority w:val="0"/>
    <w:semiHidden/>
    <w:qFormat/>
    <w:rPr>
      <w:sz w:val="20"/>
    </w:rPr>
  </w:style>
  <w:style w:type="character" w:styleId="1397" w:customStyle="1">
    <w:name w:val="UserStyle_22"/>
    <w:uiPriority w:val="0"/>
    <w:qFormat/>
    <w:rPr>
      <w:color w:val="0000ff"/>
      <w:sz w:val="20"/>
      <w:u w:val="single"/>
    </w:rPr>
  </w:style>
  <w:style w:type="character" w:styleId="1398" w:customStyle="1">
    <w:name w:val="UserStyle_8"/>
    <w:uiPriority w:val="0"/>
    <w:qFormat/>
    <w:rPr>
      <w:sz w:val="20"/>
    </w:rPr>
  </w:style>
  <w:style w:type="character" w:styleId="1399" w:customStyle="1">
    <w:name w:val="UserStyle_6"/>
    <w:uiPriority w:val="0"/>
    <w:qFormat/>
    <w:rPr>
      <w:b/>
      <w:sz w:val="20"/>
    </w:rPr>
  </w:style>
  <w:style w:type="character" w:styleId="1400" w:customStyle="1">
    <w:name w:val="UserStyle_62"/>
    <w:uiPriority w:val="0"/>
    <w:qFormat/>
    <w:rPr>
      <w:color w:val="ffff00"/>
      <w:sz w:val="20"/>
    </w:rPr>
  </w:style>
  <w:style w:type="character" w:styleId="1401" w:customStyle="1">
    <w:name w:val="UserStyle_48"/>
    <w:uiPriority w:val="0"/>
    <w:qFormat/>
    <w:rPr>
      <w:sz w:val="20"/>
    </w:rPr>
  </w:style>
  <w:style w:type="character" w:styleId="1402" w:customStyle="1">
    <w:name w:val="UserStyle_15"/>
    <w:uiPriority w:val="0"/>
    <w:qFormat/>
    <w:rPr>
      <w:b/>
      <w:sz w:val="20"/>
    </w:rPr>
  </w:style>
  <w:style w:type="character" w:styleId="1403" w:customStyle="1">
    <w:name w:val="UserStyle_49"/>
    <w:uiPriority w:val="0"/>
    <w:qFormat/>
    <w:rPr>
      <w:sz w:val="20"/>
    </w:rPr>
  </w:style>
  <w:style w:type="character" w:styleId="1404" w:customStyle="1">
    <w:name w:val="UserStyle_11"/>
    <w:uiPriority w:val="0"/>
    <w:qFormat/>
    <w:rPr>
      <w:sz w:val="20"/>
    </w:rPr>
  </w:style>
  <w:style w:type="character" w:styleId="1405" w:customStyle="1">
    <w:name w:val="UserStyle_34"/>
    <w:uiPriority w:val="0"/>
    <w:qFormat/>
    <w:rPr>
      <w:b/>
      <w:sz w:val="20"/>
    </w:rPr>
  </w:style>
  <w:style w:type="character" w:styleId="1406" w:customStyle="1">
    <w:name w:val="UserStyle_29"/>
    <w:uiPriority w:val="0"/>
    <w:qFormat/>
    <w:rPr>
      <w:sz w:val="20"/>
    </w:rPr>
  </w:style>
  <w:style w:type="character" w:styleId="1407" w:customStyle="1">
    <w:name w:val="UserStyle_42"/>
    <w:uiPriority w:val="0"/>
    <w:qFormat/>
    <w:rPr>
      <w:sz w:val="20"/>
    </w:rPr>
  </w:style>
  <w:style w:type="character" w:styleId="1408" w:customStyle="1">
    <w:name w:val="UserStyle_39"/>
    <w:uiPriority w:val="0"/>
    <w:qFormat/>
    <w:rPr>
      <w:sz w:val="20"/>
    </w:rPr>
  </w:style>
  <w:style w:type="character" w:styleId="1409" w:customStyle="1">
    <w:name w:val="UserStyle_35"/>
    <w:uiPriority w:val="0"/>
    <w:qFormat/>
    <w:rPr>
      <w:sz w:val="20"/>
    </w:rPr>
  </w:style>
  <w:style w:type="character" w:styleId="1410" w:customStyle="1">
    <w:name w:val="UserStyle_5"/>
    <w:uiPriority w:val="0"/>
    <w:qFormat/>
    <w:rPr>
      <w:sz w:val="20"/>
    </w:rPr>
  </w:style>
  <w:style w:type="character" w:styleId="1411" w:customStyle="1">
    <w:name w:val="UserStyle_26"/>
    <w:uiPriority w:val="0"/>
    <w:qFormat/>
    <w:rPr>
      <w:sz w:val="20"/>
    </w:rPr>
  </w:style>
  <w:style w:type="character" w:styleId="1412" w:customStyle="1">
    <w:name w:val="264"/>
    <w:uiPriority w:val="0"/>
    <w:qFormat/>
    <w:rPr>
      <w:b/>
      <w:i/>
      <w:sz w:val="21"/>
    </w:rPr>
  </w:style>
  <w:style w:type="character" w:styleId="1413" w:customStyle="1">
    <w:name w:val="UserStyle_76"/>
    <w:uiPriority w:val="0"/>
    <w:qFormat/>
    <w:rPr>
      <w:b/>
      <w:sz w:val="20"/>
    </w:rPr>
  </w:style>
  <w:style w:type="character" w:styleId="1414" w:customStyle="1">
    <w:name w:val="UserStyle_10"/>
    <w:uiPriority w:val="0"/>
    <w:qFormat/>
    <w:rPr>
      <w:b/>
      <w:sz w:val="20"/>
    </w:rPr>
  </w:style>
  <w:style w:type="character" w:styleId="1415" w:customStyle="1">
    <w:name w:val="UserStyle_32"/>
    <w:uiPriority w:val="0"/>
    <w:qFormat/>
    <w:rPr>
      <w:i/>
      <w:sz w:val="20"/>
    </w:rPr>
  </w:style>
  <w:style w:type="character" w:styleId="1416" w:customStyle="1">
    <w:name w:val="UserStyle_53"/>
    <w:uiPriority w:val="0"/>
    <w:qFormat/>
    <w:rPr>
      <w:sz w:val="20"/>
    </w:rPr>
  </w:style>
  <w:style w:type="character" w:styleId="1417" w:customStyle="1">
    <w:name w:val="UserStyle_2"/>
    <w:uiPriority w:val="0"/>
    <w:qFormat/>
    <w:rPr>
      <w:sz w:val="20"/>
    </w:rPr>
  </w:style>
  <w:style w:type="character" w:styleId="1418" w:customStyle="1">
    <w:name w:val="UserStyle_58"/>
    <w:uiPriority w:val="0"/>
    <w:qFormat/>
    <w:rPr>
      <w:sz w:val="20"/>
    </w:rPr>
  </w:style>
  <w:style w:type="character" w:styleId="1419" w:customStyle="1">
    <w:name w:val="UserStyle_60"/>
    <w:uiPriority w:val="0"/>
    <w:qFormat/>
    <w:rPr>
      <w:sz w:val="20"/>
    </w:rPr>
  </w:style>
  <w:style w:type="character" w:styleId="1420" w:customStyle="1">
    <w:name w:val="UserStyle_54"/>
    <w:uiPriority w:val="0"/>
    <w:qFormat/>
    <w:rPr>
      <w:b/>
      <w:sz w:val="20"/>
    </w:rPr>
  </w:style>
  <w:style w:type="character" w:styleId="1421" w:customStyle="1">
    <w:name w:val="UserStyle_16"/>
    <w:uiPriority w:val="0"/>
    <w:qFormat/>
    <w:rPr>
      <w:sz w:val="20"/>
    </w:rPr>
  </w:style>
  <w:style w:type="character" w:styleId="1422" w:customStyle="1">
    <w:name w:val="UserStyle_59"/>
    <w:uiPriority w:val="0"/>
    <w:qFormat/>
    <w:rPr>
      <w:b/>
      <w:sz w:val="20"/>
    </w:rPr>
  </w:style>
  <w:style w:type="character" w:styleId="1423" w:customStyle="1">
    <w:name w:val="UserStyle_20"/>
    <w:uiPriority w:val="0"/>
    <w:semiHidden/>
    <w:qFormat/>
    <w:rPr>
      <w:sz w:val="20"/>
    </w:rPr>
  </w:style>
  <w:style w:type="character" w:styleId="1424" w:customStyle="1">
    <w:name w:val="UserStyle_31"/>
    <w:uiPriority w:val="0"/>
    <w:qFormat/>
    <w:rPr>
      <w:b/>
      <w:sz w:val="20"/>
    </w:rPr>
  </w:style>
  <w:style w:type="character" w:styleId="1425" w:customStyle="1">
    <w:name w:val="AnnotationReference"/>
    <w:uiPriority w:val="0"/>
    <w:qFormat/>
    <w:rPr>
      <w:sz w:val="20"/>
    </w:rPr>
  </w:style>
  <w:style w:type="character" w:styleId="1426" w:customStyle="1">
    <w:name w:val="UserStyle_12"/>
    <w:uiPriority w:val="0"/>
    <w:qFormat/>
    <w:rPr>
      <w:sz w:val="20"/>
    </w:rPr>
  </w:style>
  <w:style w:type="character" w:styleId="1427" w:customStyle="1">
    <w:name w:val="261"/>
    <w:uiPriority w:val="0"/>
    <w:qFormat/>
    <w:rPr>
      <w:i/>
      <w:color w:val="000000"/>
      <w:sz w:val="21"/>
    </w:rPr>
  </w:style>
  <w:style w:type="character" w:styleId="1428" w:customStyle="1">
    <w:name w:val="UserStyle_41"/>
    <w:link w:val="1075"/>
    <w:uiPriority w:val="0"/>
    <w:qFormat/>
    <w:rPr>
      <w:sz w:val="20"/>
    </w:rPr>
  </w:style>
  <w:style w:type="paragraph" w:styleId="1429">
    <w:name w:val="List Paragraph"/>
    <w:basedOn w:val="1046"/>
    <w:uiPriority w:val="0"/>
    <w:qFormat/>
    <w:pPr>
      <w:ind w:left="533" w:firstLine="600"/>
      <w:jc w:val="left"/>
      <w:spacing w:before="136"/>
      <w:widowControl w:val="off"/>
    </w:pPr>
    <w:rPr>
      <w:rFonts w:ascii="仿宋" w:hAnsi="仿宋" w:eastAsia="仿宋"/>
      <w:sz w:val="22"/>
      <w:szCs w:val="22"/>
    </w:rPr>
  </w:style>
  <w:style w:type="paragraph" w:styleId="1430" w:customStyle="1">
    <w:name w:val="179"/>
    <w:basedOn w:val="1075"/>
    <w:uiPriority w:val="0"/>
    <w:qFormat/>
    <w:pPr>
      <w:ind w:firstLine="420"/>
    </w:pPr>
    <w:rPr>
      <w:sz w:val="21"/>
      <w:szCs w:val="22"/>
    </w:rPr>
  </w:style>
  <w:style w:type="paragraph" w:styleId="1431" w:customStyle="1">
    <w:name w:val="列出段落1"/>
    <w:basedOn w:val="1075"/>
    <w:uiPriority w:val="0"/>
    <w:qFormat/>
    <w:pPr>
      <w:ind w:firstLine="420"/>
      <w:widowControl w:val="off"/>
    </w:pPr>
    <w:rPr>
      <w:sz w:val="21"/>
      <w:szCs w:val="24"/>
    </w:rPr>
  </w:style>
  <w:style w:type="paragraph" w:styleId="1432"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433" w:customStyle="1">
    <w:name w:val="UserStyle_77"/>
    <w:basedOn w:val="1075"/>
    <w:uiPriority w:val="0"/>
    <w:qFormat/>
    <w:pPr>
      <w:ind w:firstLine="420"/>
      <w:spacing w:line="520" w:lineRule="exact"/>
    </w:pPr>
    <w:rPr>
      <w:color w:val="000000"/>
      <w:sz w:val="24"/>
      <w:szCs w:val="24"/>
    </w:rPr>
  </w:style>
  <w:style w:type="paragraph" w:styleId="1434"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435" w:customStyle="1">
    <w:name w:val="HtmlNormal"/>
    <w:basedOn w:val="1075"/>
    <w:uiPriority w:val="0"/>
    <w:qFormat/>
    <w:rPr>
      <w:sz w:val="24"/>
      <w:szCs w:val="24"/>
    </w:rPr>
  </w:style>
  <w:style w:type="paragraph" w:styleId="1436" w:customStyle="1">
    <w:name w:val="Table Paragraph"/>
    <w:basedOn w:val="1075"/>
    <w:uiPriority w:val="0"/>
    <w:qFormat/>
    <w:pPr>
      <w:jc w:val="left"/>
      <w:widowControl w:val="off"/>
    </w:pPr>
    <w:rPr>
      <w:rFonts w:ascii="仿宋" w:hAnsi="仿宋" w:eastAsia="仿宋"/>
      <w:sz w:val="22"/>
      <w:szCs w:val="22"/>
    </w:rPr>
  </w:style>
  <w:style w:type="paragraph" w:styleId="1437" w:customStyle="1">
    <w:name w:val="BlockQuote"/>
    <w:basedOn w:val="1075"/>
    <w:uiPriority w:val="0"/>
    <w:qFormat/>
    <w:pPr>
      <w:ind w:left="256" w:right="6" w:firstLine="624"/>
    </w:pPr>
    <w:rPr>
      <w:rFonts w:eastAsia="仿宋_GB2312"/>
      <w:sz w:val="28"/>
    </w:rPr>
  </w:style>
  <w:style w:type="table" w:styleId="1438" w:customStyle="1">
    <w:name w:val="TableNormal"/>
    <w:uiPriority w:val="0"/>
    <w:semiHidden/>
    <w:qFormat/>
    <w:tblPr>
      <w:tblCellMar>
        <w:left w:w="0" w:type="dxa"/>
        <w:top w:w="0" w:type="dxa"/>
        <w:right w:w="0" w:type="dxa"/>
        <w:bottom w:w="0" w:type="dxa"/>
      </w:tblCellMar>
    </w:tblPr>
  </w:style>
  <w:style w:type="paragraph" w:styleId="1439" w:customStyle="1">
    <w:name w:val="TOC 标题2"/>
    <w:basedOn w:val="1314"/>
    <w:next w:val="1075"/>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4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1" w:customStyle="1">
    <w:name w:val="小标题 1"/>
    <w:basedOn w:val="1075"/>
    <w:uiPriority w:val="0"/>
    <w:qFormat/>
    <w:pPr>
      <w:spacing w:line="360" w:lineRule="atLeast"/>
      <w:widowControl w:val="off"/>
    </w:pPr>
    <w:rPr>
      <w:rFonts w:ascii="文鼎粗黑" w:eastAsia="文鼎粗黑"/>
      <w:sz w:val="22"/>
    </w:rPr>
  </w:style>
  <w:style w:type="paragraph" w:styleId="1442" w:customStyle="1">
    <w:name w:val="文档正文"/>
    <w:basedOn w:val="1075"/>
    <w:uiPriority w:val="0"/>
    <w:qFormat/>
    <w:pPr>
      <w:ind w:firstLine="567"/>
      <w:spacing w:line="312" w:lineRule="atLeast"/>
      <w:widowControl w:val="off"/>
    </w:pPr>
    <w:rPr>
      <w:rFonts w:ascii="长城仿宋" w:eastAsia="长城仿宋"/>
      <w:sz w:val="28"/>
    </w:rPr>
  </w:style>
  <w:style w:type="paragraph" w:styleId="1443"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44" w:customStyle="1">
    <w:name w:val="Body text|1"/>
    <w:basedOn w:val="1075"/>
    <w:uiPriority w:val="0"/>
    <w:qFormat/>
    <w:pPr>
      <w:ind w:firstLine="360"/>
      <w:spacing w:line="425" w:lineRule="auto"/>
      <w:widowControl w:val="off"/>
    </w:pPr>
    <w:rPr>
      <w:rFonts w:ascii="宋体" w:hAnsi="宋体"/>
      <w:sz w:val="18"/>
      <w:szCs w:val="18"/>
      <w:lang w:val="zh-TW" w:eastAsia="zh-TW" w:bidi="zh-TW"/>
    </w:rPr>
  </w:style>
  <w:style w:type="character" w:styleId="1445" w:customStyle="1">
    <w:name w:val="未处理的提及1"/>
    <w:uiPriority w:val="99"/>
    <w:semiHidden/>
    <w:unhideWhenUsed/>
    <w:qFormat/>
    <w:rPr>
      <w:color w:val="605e5c"/>
      <w:shd w:val="clear" w:color="auto" w:fill="e1dfdd"/>
    </w:rPr>
  </w:style>
  <w:style w:type="character" w:styleId="1446" w:customStyle="1">
    <w:name w:val="批注主题 Char1"/>
    <w:link w:val="1104"/>
    <w:uiPriority w:val="0"/>
    <w:qFormat/>
    <w:rPr>
      <w:b/>
      <w:bCs/>
      <w:sz w:val="21"/>
      <w:szCs w:val="24"/>
    </w:rPr>
  </w:style>
  <w:style w:type="character" w:styleId="1447" w:customStyle="1">
    <w:name w:val="批注文字 Char1"/>
    <w:link w:val="1062"/>
    <w:uiPriority w:val="99"/>
    <w:semiHidden/>
    <w:qFormat/>
    <w:rPr>
      <w:rFonts w:ascii="Calibri" w:hAnsi="Calibri"/>
      <w:sz w:val="21"/>
      <w:szCs w:val="21"/>
    </w:rPr>
  </w:style>
  <w:style w:type="character" w:styleId="1448" w:customStyle="1">
    <w:name w:val="批注主题 字符1"/>
    <w:uiPriority w:val="99"/>
    <w:semiHidden/>
    <w:qFormat/>
    <w:rPr>
      <w:rFonts w:ascii="Calibri" w:hAnsi="Calibri"/>
      <w:b/>
      <w:bCs/>
      <w:sz w:val="21"/>
      <w:szCs w:val="21"/>
    </w:rPr>
  </w:style>
  <w:style w:type="character" w:styleId="1449" w:customStyle="1">
    <w:name w:val="正文文本 Char1"/>
    <w:basedOn w:val="1056"/>
    <w:link w:val="1063"/>
    <w:uiPriority w:val="0"/>
    <w:qFormat/>
  </w:style>
  <w:style w:type="character" w:styleId="1450" w:customStyle="1">
    <w:name w:val="批注框文本 Char1"/>
    <w:link w:val="1091"/>
    <w:uiPriority w:val="99"/>
    <w:semiHidden/>
    <w:qFormat/>
    <w:rPr>
      <w:rFonts w:ascii="Calibri" w:hAnsi="Calibri"/>
      <w:sz w:val="18"/>
      <w:szCs w:val="18"/>
    </w:rPr>
  </w:style>
  <w:style w:type="paragraph" w:styleId="1451" w:customStyle="1">
    <w:name w:val="标题 212"/>
    <w:basedOn w:val="1074"/>
    <w:next w:val="1074"/>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52" w:customStyle="1">
    <w:name w:val="正文文本缩进 Char"/>
    <w:link w:val="1083"/>
    <w:uiPriority w:val="0"/>
    <w:qFormat/>
    <w:rPr>
      <w:rFonts w:ascii="Calibri" w:hAnsi="Calibri"/>
      <w:sz w:val="21"/>
      <w:szCs w:val="21"/>
    </w:rPr>
  </w:style>
  <w:style w:type="table" w:styleId="145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5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5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5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57" w:customStyle="1">
    <w:name w:val="无格式表格 311"/>
    <w:uiPriority w:val="99"/>
    <w:qFormat/>
    <w:tblPr>
      <w:tblCellMar>
        <w:left w:w="0" w:type="dxa"/>
        <w:top w:w="0" w:type="dxa"/>
        <w:right w:w="0" w:type="dxa"/>
        <w:bottom w:w="0" w:type="dxa"/>
      </w:tblCellMar>
    </w:tblPr>
  </w:style>
  <w:style w:type="table" w:styleId="1458" w:customStyle="1">
    <w:name w:val="无格式表格 411"/>
    <w:uiPriority w:val="99"/>
    <w:qFormat/>
    <w:tblPr>
      <w:tblCellMar>
        <w:left w:w="0" w:type="dxa"/>
        <w:top w:w="0" w:type="dxa"/>
        <w:right w:w="0" w:type="dxa"/>
        <w:bottom w:w="0" w:type="dxa"/>
      </w:tblCellMar>
    </w:tblPr>
  </w:style>
  <w:style w:type="table" w:styleId="1459" w:customStyle="1">
    <w:name w:val="无格式表格 511"/>
    <w:uiPriority w:val="99"/>
    <w:qFormat/>
    <w:tblPr>
      <w:tblCellMar>
        <w:left w:w="0" w:type="dxa"/>
        <w:top w:w="0" w:type="dxa"/>
        <w:right w:w="0" w:type="dxa"/>
        <w:bottom w:w="0" w:type="dxa"/>
      </w:tblCellMar>
    </w:tblPr>
  </w:style>
  <w:style w:type="table" w:styleId="146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6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6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6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6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6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6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6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6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6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7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7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7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7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7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7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7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7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7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7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8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8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8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8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8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8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8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8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8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9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9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9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9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9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9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9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9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9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9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0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50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50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50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50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50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0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0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0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09" w:customStyle="1">
    <w:name w:val="清单表 1 浅色11"/>
    <w:uiPriority w:val="99"/>
    <w:qFormat/>
    <w:tblPr>
      <w:tblCellMar>
        <w:left w:w="0" w:type="dxa"/>
        <w:top w:w="0" w:type="dxa"/>
        <w:right w:w="0" w:type="dxa"/>
        <w:bottom w:w="0" w:type="dxa"/>
      </w:tblCellMar>
    </w:tblPr>
  </w:style>
  <w:style w:type="table" w:styleId="1510" w:customStyle="1">
    <w:name w:val="List Table 1 Light - Accent 11"/>
    <w:uiPriority w:val="99"/>
    <w:qFormat/>
    <w:tblPr>
      <w:tblCellMar>
        <w:left w:w="0" w:type="dxa"/>
        <w:top w:w="0" w:type="dxa"/>
        <w:right w:w="0" w:type="dxa"/>
        <w:bottom w:w="0" w:type="dxa"/>
      </w:tblCellMar>
    </w:tblPr>
  </w:style>
  <w:style w:type="table" w:styleId="1511" w:customStyle="1">
    <w:name w:val="List Table 1 Light - Accent 21"/>
    <w:uiPriority w:val="99"/>
    <w:qFormat/>
    <w:tblPr>
      <w:tblCellMar>
        <w:left w:w="0" w:type="dxa"/>
        <w:top w:w="0" w:type="dxa"/>
        <w:right w:w="0" w:type="dxa"/>
        <w:bottom w:w="0" w:type="dxa"/>
      </w:tblCellMar>
    </w:tblPr>
  </w:style>
  <w:style w:type="table" w:styleId="1512" w:customStyle="1">
    <w:name w:val="List Table 1 Light - Accent 31"/>
    <w:uiPriority w:val="99"/>
    <w:qFormat/>
    <w:tblPr>
      <w:tblCellMar>
        <w:left w:w="0" w:type="dxa"/>
        <w:top w:w="0" w:type="dxa"/>
        <w:right w:w="0" w:type="dxa"/>
        <w:bottom w:w="0" w:type="dxa"/>
      </w:tblCellMar>
    </w:tblPr>
  </w:style>
  <w:style w:type="table" w:styleId="1513" w:customStyle="1">
    <w:name w:val="List Table 1 Light - Accent 41"/>
    <w:uiPriority w:val="99"/>
    <w:qFormat/>
    <w:tblPr>
      <w:tblCellMar>
        <w:left w:w="0" w:type="dxa"/>
        <w:top w:w="0" w:type="dxa"/>
        <w:right w:w="0" w:type="dxa"/>
        <w:bottom w:w="0" w:type="dxa"/>
      </w:tblCellMar>
    </w:tblPr>
  </w:style>
  <w:style w:type="table" w:styleId="1514" w:customStyle="1">
    <w:name w:val="List Table 1 Light - Accent 51"/>
    <w:uiPriority w:val="99"/>
    <w:qFormat/>
    <w:tblPr>
      <w:tblCellMar>
        <w:left w:w="0" w:type="dxa"/>
        <w:top w:w="0" w:type="dxa"/>
        <w:right w:w="0" w:type="dxa"/>
        <w:bottom w:w="0" w:type="dxa"/>
      </w:tblCellMar>
    </w:tblPr>
  </w:style>
  <w:style w:type="table" w:styleId="1515" w:customStyle="1">
    <w:name w:val="List Table 1 Light - Accent 61"/>
    <w:uiPriority w:val="99"/>
    <w:qFormat/>
    <w:tblPr>
      <w:tblCellMar>
        <w:left w:w="0" w:type="dxa"/>
        <w:top w:w="0" w:type="dxa"/>
        <w:right w:w="0" w:type="dxa"/>
        <w:bottom w:w="0" w:type="dxa"/>
      </w:tblCellMar>
    </w:tblPr>
  </w:style>
  <w:style w:type="table" w:styleId="151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51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51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51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52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52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52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52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52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52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52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52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52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52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53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53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53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53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53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3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3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3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3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3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4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4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4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4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4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4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4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4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4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4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5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5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5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5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5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5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5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5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58" w:customStyle="1">
    <w:name w:val="Lined - Accent 11"/>
    <w:uiPriority w:val="99"/>
    <w:qFormat/>
    <w:rPr>
      <w:color w:val="404040"/>
    </w:rPr>
    <w:tblPr>
      <w:tblCellMar>
        <w:left w:w="0" w:type="dxa"/>
        <w:top w:w="0" w:type="dxa"/>
        <w:right w:w="0" w:type="dxa"/>
        <w:bottom w:w="0" w:type="dxa"/>
      </w:tblCellMar>
    </w:tblPr>
  </w:style>
  <w:style w:type="table" w:styleId="1559" w:customStyle="1">
    <w:name w:val="Lined - Accent 21"/>
    <w:uiPriority w:val="99"/>
    <w:qFormat/>
    <w:rPr>
      <w:color w:val="404040"/>
    </w:rPr>
    <w:tblPr>
      <w:tblCellMar>
        <w:left w:w="0" w:type="dxa"/>
        <w:top w:w="0" w:type="dxa"/>
        <w:right w:w="0" w:type="dxa"/>
        <w:bottom w:w="0" w:type="dxa"/>
      </w:tblCellMar>
    </w:tblPr>
  </w:style>
  <w:style w:type="table" w:styleId="1560" w:customStyle="1">
    <w:name w:val="Lined - Accent 31"/>
    <w:uiPriority w:val="99"/>
    <w:qFormat/>
    <w:rPr>
      <w:color w:val="404040"/>
    </w:rPr>
    <w:tblPr>
      <w:tblCellMar>
        <w:left w:w="0" w:type="dxa"/>
        <w:top w:w="0" w:type="dxa"/>
        <w:right w:w="0" w:type="dxa"/>
        <w:bottom w:w="0" w:type="dxa"/>
      </w:tblCellMar>
    </w:tblPr>
  </w:style>
  <w:style w:type="table" w:styleId="1561" w:customStyle="1">
    <w:name w:val="Lined - Accent 41"/>
    <w:uiPriority w:val="99"/>
    <w:qFormat/>
    <w:rPr>
      <w:color w:val="404040"/>
    </w:rPr>
    <w:tblPr>
      <w:tblCellMar>
        <w:left w:w="0" w:type="dxa"/>
        <w:top w:w="0" w:type="dxa"/>
        <w:right w:w="0" w:type="dxa"/>
        <w:bottom w:w="0" w:type="dxa"/>
      </w:tblCellMar>
    </w:tblPr>
  </w:style>
  <w:style w:type="table" w:styleId="1562" w:customStyle="1">
    <w:name w:val="Lined - Accent 51"/>
    <w:uiPriority w:val="99"/>
    <w:qFormat/>
    <w:rPr>
      <w:color w:val="404040"/>
    </w:rPr>
    <w:tblPr>
      <w:tblCellMar>
        <w:left w:w="0" w:type="dxa"/>
        <w:top w:w="0" w:type="dxa"/>
        <w:right w:w="0" w:type="dxa"/>
        <w:bottom w:w="0" w:type="dxa"/>
      </w:tblCellMar>
    </w:tblPr>
  </w:style>
  <w:style w:type="table" w:styleId="1563" w:customStyle="1">
    <w:name w:val="Lined - Accent 61"/>
    <w:uiPriority w:val="99"/>
    <w:qFormat/>
    <w:rPr>
      <w:color w:val="404040"/>
    </w:rPr>
    <w:tblPr>
      <w:tblCellMar>
        <w:left w:w="0" w:type="dxa"/>
        <w:top w:w="0" w:type="dxa"/>
        <w:right w:w="0" w:type="dxa"/>
        <w:bottom w:w="0" w:type="dxa"/>
      </w:tblCellMar>
    </w:tblPr>
  </w:style>
  <w:style w:type="table" w:styleId="156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6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6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6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6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6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7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7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7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7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7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7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7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77" w:customStyle="1">
    <w:name w:val="普通表格11"/>
    <w:uiPriority w:val="0"/>
    <w:qFormat/>
    <w:tblPr>
      <w:tblCellMar>
        <w:left w:w="0" w:type="dxa"/>
        <w:top w:w="0" w:type="dxa"/>
        <w:right w:w="0" w:type="dxa"/>
        <w:bottom w:w="0" w:type="dxa"/>
      </w:tblCellMar>
    </w:tblPr>
  </w:style>
  <w:style w:type="table" w:styleId="1578" w:customStyle="1">
    <w:name w:val="网格型11"/>
    <w:basedOn w:val="1318"/>
    <w:uiPriority w:val="0"/>
    <w:qFormat/>
    <w:pPr>
      <w:jc w:val="both"/>
      <w:widowControl w:val="off"/>
    </w:pPr>
    <w:tblPr>
      <w:tblCellMar>
        <w:left w:w="0" w:type="dxa"/>
        <w:top w:w="0" w:type="dxa"/>
        <w:right w:w="0" w:type="dxa"/>
        <w:bottom w:w="0" w:type="dxa"/>
      </w:tblCellMar>
    </w:tblPr>
  </w:style>
  <w:style w:type="paragraph" w:styleId="1579" w:customStyle="1">
    <w:name w:val="列出段落2"/>
    <w:basedOn w:val="1075"/>
    <w:uiPriority w:val="0"/>
    <w:qFormat/>
    <w:pPr>
      <w:ind w:firstLine="420"/>
      <w:widowControl w:val="off"/>
    </w:pPr>
    <w:rPr>
      <w:sz w:val="21"/>
      <w:szCs w:val="24"/>
    </w:rPr>
  </w:style>
  <w:style w:type="table" w:styleId="1580" w:customStyle="1">
    <w:name w:val="TableNormal1"/>
    <w:uiPriority w:val="0"/>
    <w:semiHidden/>
    <w:qFormat/>
    <w:tblPr>
      <w:tblCellMar>
        <w:left w:w="0" w:type="dxa"/>
        <w:top w:w="0" w:type="dxa"/>
        <w:right w:w="0" w:type="dxa"/>
        <w:bottom w:w="0" w:type="dxa"/>
      </w:tblCellMar>
    </w:tblPr>
  </w:style>
  <w:style w:type="paragraph" w:styleId="1581" w:customStyle="1">
    <w:name w:val="_Style 9"/>
    <w:basedOn w:val="1047"/>
    <w:next w:val="1046"/>
    <w:uiPriority w:val="0"/>
    <w:qFormat/>
    <w:pPr>
      <w:spacing w:before="340" w:after="330" w:line="576" w:lineRule="auto"/>
      <w:outlineLvl w:val="9"/>
    </w:pPr>
    <w:rPr>
      <w:rFonts w:ascii="Calibri" w:hAnsi="Calibri"/>
      <w:sz w:val="44"/>
    </w:rPr>
  </w:style>
  <w:style w:type="paragraph" w:styleId="1582" w:customStyle="1">
    <w:name w:val="WPSOffice手动目录 1"/>
    <w:uiPriority w:val="0"/>
    <w:qFormat/>
    <w:rPr>
      <w:rFonts w:hint="default" w:ascii="Times New Roman" w:hAnsi="Times New Roman" w:eastAsia="宋体" w:cs="Times New Roman"/>
      <w:lang w:val="en-US" w:eastAsia="zh-CN" w:bidi="ar-SA"/>
    </w:rPr>
  </w:style>
  <w:style w:type="paragraph" w:styleId="158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584"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585" w:customStyle="1">
    <w:name w:val="彩色列表 - 强调文字颜色 11"/>
    <w:basedOn w:val="1046"/>
    <w:uiPriority w:val="34"/>
    <w:qFormat/>
    <w:pPr>
      <w:ind w:firstLine="420"/>
    </w:pPr>
    <w:rPr>
      <w:szCs w:val="22"/>
    </w:rPr>
  </w:style>
  <w:style w:type="paragraph" w:styleId="1586" w:customStyle="1">
    <w:name w:val="标题 111"/>
    <w:basedOn w:val="1075"/>
    <w:next w:val="1075"/>
    <w:uiPriority w:val="0"/>
    <w:qFormat/>
    <w:pPr>
      <w:jc w:val="center"/>
      <w:keepLines/>
      <w:keepNext/>
      <w:spacing w:line="578" w:lineRule="auto"/>
      <w:outlineLvl w:val="0"/>
    </w:pPr>
    <w:rPr>
      <w:rFonts w:eastAsia="新宋体"/>
      <w:b/>
      <w:bCs/>
      <w:sz w:val="30"/>
      <w:szCs w:val="44"/>
    </w:rPr>
  </w:style>
  <w:style w:type="paragraph" w:styleId="1587"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588" w:customStyle="1">
    <w:name w:val="文本块111"/>
    <w:basedOn w:val="1046"/>
    <w:uiPriority w:val="0"/>
    <w:qFormat/>
    <w:pPr>
      <w:ind w:left="256" w:right="6" w:firstLine="624"/>
    </w:pPr>
    <w:rPr>
      <w:rFonts w:eastAsia="仿宋_GB2312"/>
      <w:sz w:val="28"/>
      <w:szCs w:val="20"/>
    </w:rPr>
  </w:style>
  <w:style w:type="character" w:styleId="1589" w:customStyle="1">
    <w:name w:val="NormalCharacter1"/>
    <w:link w:val="1046"/>
    <w:uiPriority w:val="0"/>
    <w:qFormat/>
    <w:rPr>
      <w:lang w:val="en-US" w:eastAsia="zh-CN" w:bidi="ar-SA"/>
    </w:rPr>
  </w:style>
  <w:style w:type="table" w:styleId="1590" w:customStyle="1">
    <w:name w:val="网格型111"/>
    <w:uiPriority w:val="0"/>
    <w:qFormat/>
    <w:rPr>
      <w:lang w:val="en-US" w:eastAsia="zh-CN" w:bidi="ar-SA"/>
    </w:rPr>
    <w:tblPr/>
  </w:style>
  <w:style w:type="paragraph" w:styleId="1591" w:customStyle="1">
    <w:name w:val="正文_0_0"/>
    <w:uiPriority w:val="99"/>
    <w:unhideWhenUsed/>
    <w:qFormat/>
    <w:rPr>
      <w:rFonts w:hint="default" w:ascii="Calibri" w:hAnsi="Calibri" w:eastAsia="宋体" w:cs="Times New Roman"/>
      <w:sz w:val="21"/>
    </w:rPr>
  </w:style>
  <w:style w:type="paragraph" w:styleId="1592" w:customStyle="1">
    <w:name w:val="纯文本1"/>
    <w:basedOn w:val="1070"/>
    <w:uiPriority w:val="0"/>
    <w:qFormat/>
    <w:rPr>
      <w:rFonts w:ascii="宋体" w:hAnsi="Courier New"/>
      <w:sz w:val="20"/>
      <w:szCs w:val="20"/>
    </w:rPr>
  </w:style>
  <w:style w:type="paragraph" w:styleId="1593" w:customStyle="1">
    <w:name w:val="脚注文本12"/>
    <w:basedOn w:val="1046"/>
    <w:next w:val="1594"/>
    <w:uiPriority w:val="99"/>
    <w:unhideWhenUsed/>
    <w:qFormat/>
    <w:pPr>
      <w:spacing w:after="40" w:line="240" w:lineRule="auto"/>
    </w:pPr>
    <w:rPr>
      <w:sz w:val="18"/>
    </w:rPr>
  </w:style>
  <w:style w:type="paragraph" w:styleId="1594" w:customStyle="1">
    <w:name w:val="索引 512"/>
    <w:basedOn w:val="1046"/>
    <w:next w:val="1046"/>
    <w:uiPriority w:val="0"/>
    <w:qFormat/>
    <w:pPr>
      <w:ind w:left="798"/>
    </w:pPr>
    <w:rPr>
      <w:rFonts w:ascii="Calibri" w:hAnsi="Calibri" w:eastAsia="Times New Roman"/>
      <w:szCs w:val="24"/>
    </w:rPr>
  </w:style>
  <w:style w:type="paragraph" w:styleId="1595" w:customStyle="1">
    <w:name w:val="普通(网站)11"/>
    <w:basedOn w:val="1046"/>
    <w:uiPriority w:val="0"/>
    <w:qFormat/>
    <w:pPr>
      <w:jc w:val="left"/>
      <w:spacing w:before="100" w:beforeAutospacing="1" w:after="100" w:afterAutospacing="1"/>
      <w:widowControl/>
    </w:pPr>
    <w:rPr>
      <w:rFonts w:ascii="宋体" w:hAnsi="宋体"/>
      <w:sz w:val="24"/>
    </w:rPr>
  </w:style>
  <w:style w:type="paragraph" w:styleId="1596" w:customStyle="1">
    <w:name w:val="正文文本 21"/>
    <w:basedOn w:val="1046"/>
    <w:uiPriority w:val="0"/>
    <w:qFormat/>
    <w:pPr>
      <w:jc w:val="center"/>
      <w:widowControl/>
    </w:pPr>
    <w:rPr>
      <w:rFonts w:ascii="楷体_GB2312" w:eastAsia="楷体_GB2312"/>
      <w:sz w:val="28"/>
      <w:szCs w:val="28"/>
    </w:rPr>
  </w:style>
  <w:style w:type="paragraph" w:styleId="1597" w:customStyle="1">
    <w:name w:val="HtmlNormal1"/>
    <w:basedOn w:val="1046"/>
    <w:uiPriority w:val="0"/>
    <w:qFormat/>
    <w:pPr>
      <w:jc w:val="left"/>
      <w:spacing w:before="100" w:beforeAutospacing="1" w:after="100" w:afterAutospacing="1"/>
    </w:pPr>
    <w:rPr>
      <w:rFonts w:ascii="宋体" w:hAnsi="宋体"/>
      <w:sz w:val="24"/>
    </w:rPr>
  </w:style>
  <w:style w:type="character" w:styleId="1598" w:customStyle="1">
    <w:name w:val="NormalCharacter11"/>
    <w:link w:val="1046"/>
    <w:uiPriority w:val="0"/>
    <w:semiHidden/>
    <w:qFormat/>
    <w:rPr>
      <w:rFonts w:ascii="Times New Roman" w:hAnsi="Times New Roman" w:eastAsia="宋体" w:cs="Times New Roman"/>
      <w:sz w:val="21"/>
      <w:szCs w:val="24"/>
    </w:rPr>
  </w:style>
  <w:style w:type="paragraph" w:styleId="1599" w:customStyle="1">
    <w:name w:val="目录 112"/>
    <w:basedOn w:val="1046"/>
    <w:next w:val="1046"/>
    <w:uiPriority w:val="39"/>
    <w:unhideWhenUsed/>
    <w:qFormat/>
    <w:pPr>
      <w:ind w:left="0" w:right="0" w:firstLine="0"/>
      <w:spacing w:after="57"/>
    </w:pPr>
  </w:style>
  <w:style w:type="paragraph" w:styleId="1600" w:customStyle="1">
    <w:name w:val="p0"/>
    <w:basedOn w:val="1046"/>
    <w:uiPriority w:val="0"/>
    <w:qFormat/>
    <w:pPr>
      <w:widowControl/>
    </w:pPr>
    <w:rPr>
      <w:szCs w:val="21"/>
    </w:rPr>
  </w:style>
  <w:style w:type="paragraph" w:styleId="1601" w:customStyle="1">
    <w:name w:val="页脚11"/>
    <w:basedOn w:val="1046"/>
    <w:uiPriority w:val="99"/>
    <w:unhideWhenUsed/>
    <w:qFormat/>
    <w:pPr>
      <w:spacing w:after="0" w:line="240" w:lineRule="auto"/>
      <w:tabs>
        <w:tab w:val="center" w:pos="7143" w:leader="none"/>
        <w:tab w:val="right" w:pos="14287" w:leader="none"/>
      </w:tabs>
    </w:pPr>
  </w:style>
  <w:style w:type="numbering" w:styleId="1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 Id="rId27" Type="http://schemas.openxmlformats.org/officeDocument/2006/relationships/image" Target="media/image3.jpg"/><Relationship Id="rId28"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朱文颖</cp:lastModifiedBy>
  <cp:revision>73</cp:revision>
  <dcterms:created xsi:type="dcterms:W3CDTF">2022-12-08T06:37:00Z</dcterms:created>
  <dcterms:modified xsi:type="dcterms:W3CDTF">2025-11-03T08:53:24Z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2FA8B7B87B21405E8A3BD83085309297_13</vt:lpwstr>
  </property>
  <property fmtid="{D5CDD505-2E9C-101B-9397-08002B2CF9AE}" pid="4" name="KSOTemplateDocerSaveRecord">
    <vt:lpwstr>eyJoZGlkIjoiNGE3NTRiNjhkNzA3NzAwMzE5Mjk4NWQ4ZGU1MjM4NDEiLCJ1c2VySWQiOiI0ODkyMzMxMDQifQ==</vt:lpwstr>
  </property>
</Properties>
</file>